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ink/ink1.xml" ContentType="application/inkml+xml"/>
  <Override PartName="/word/ink/ink2.xml" ContentType="application/inkml+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49C36">
      <w:pPr>
        <w:keepNext w:val="0"/>
        <w:keepLines w:val="0"/>
        <w:pageBreakBefore w:val="0"/>
        <w:widowControl/>
        <w:shd w:val="clear"/>
        <w:kinsoku/>
        <w:wordWrap/>
        <w:overflowPunct/>
        <w:topLinePunct/>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caps w:val="0"/>
          <w:smallCaps/>
          <w:color w:val="auto"/>
          <w:spacing w:val="-6"/>
          <w:kern w:val="0"/>
          <w:sz w:val="44"/>
          <w:szCs w:val="44"/>
          <w:highlight w:val="none"/>
          <w:lang w:val="en-US" w:eastAsia="zh-CN"/>
        </w:rPr>
      </w:pPr>
      <w:r>
        <w:rPr>
          <w:rFonts w:hint="eastAsia" w:ascii="方正小标宋简体" w:hAnsi="方正小标宋简体" w:eastAsia="方正小标宋简体" w:cs="方正小标宋简体"/>
          <w:b w:val="0"/>
          <w:bCs/>
          <w:caps w:val="0"/>
          <w:smallCaps/>
          <w:color w:val="auto"/>
          <w:spacing w:val="-6"/>
          <w:kern w:val="0"/>
          <w:sz w:val="44"/>
          <w:szCs w:val="44"/>
          <w:highlight w:val="none"/>
          <w:lang w:val="en-US" w:eastAsia="zh-CN"/>
        </w:rPr>
        <w:t>长做“加减乘除”运算  实著“优质均衡”文章</w:t>
      </w:r>
    </w:p>
    <w:p w14:paraId="29F82734">
      <w:pPr>
        <w:keepNext w:val="0"/>
        <w:keepLines w:val="0"/>
        <w:pageBreakBefore w:val="0"/>
        <w:widowControl/>
        <w:shd w:val="clear"/>
        <w:kinsoku/>
        <w:wordWrap/>
        <w:overflowPunct/>
        <w:topLinePunct w:val="0"/>
        <w:autoSpaceDE/>
        <w:autoSpaceDN/>
        <w:bidi w:val="0"/>
        <w:adjustRightInd/>
        <w:snapToGrid/>
        <w:spacing w:line="560" w:lineRule="exact"/>
        <w:ind w:left="0" w:leftChars="0"/>
        <w:jc w:val="center"/>
        <w:textAlignment w:val="auto"/>
        <w:rPr>
          <w:rFonts w:hint="eastAsia" w:ascii="楷体_GB2312" w:hAnsi="楷体_GB2312" w:eastAsia="楷体_GB2312" w:cs="楷体_GB2312"/>
          <w:b w:val="0"/>
          <w:bCs/>
          <w:color w:val="auto"/>
          <w:spacing w:val="0"/>
          <w:kern w:val="0"/>
          <w:sz w:val="32"/>
          <w:szCs w:val="32"/>
          <w:highlight w:val="none"/>
          <w:lang w:val="en-US" w:eastAsia="zh-CN"/>
        </w:rPr>
      </w:pPr>
      <w:r>
        <w:rPr>
          <w:rFonts w:hint="eastAsia" w:ascii="楷体_GB2312" w:hAnsi="楷体_GB2312" w:eastAsia="楷体_GB2312" w:cs="楷体_GB2312"/>
          <w:b w:val="0"/>
          <w:bCs/>
          <w:color w:val="auto"/>
          <w:spacing w:val="0"/>
          <w:kern w:val="0"/>
          <w:sz w:val="32"/>
          <w:szCs w:val="32"/>
          <w:highlight w:val="none"/>
          <w:lang w:val="en-US" w:eastAsia="zh-CN"/>
        </w:rPr>
        <w:t>——大亚湾开发区申报义务教育优质均衡发展区自评报告</w:t>
      </w:r>
    </w:p>
    <w:p w14:paraId="767E3411">
      <w:pPr>
        <w:keepNext w:val="0"/>
        <w:keepLines w:val="0"/>
        <w:pageBreakBefore w:val="0"/>
        <w:widowControl/>
        <w:shd w:val="clear"/>
        <w:kinsoku/>
        <w:wordWrap/>
        <w:overflowPunct/>
        <w:topLinePunct w:val="0"/>
        <w:autoSpaceDE/>
        <w:autoSpaceDN/>
        <w:bidi w:val="0"/>
        <w:adjustRightInd/>
        <w:snapToGrid/>
        <w:spacing w:line="560" w:lineRule="exact"/>
        <w:ind w:left="0" w:leftChars="0"/>
        <w:jc w:val="left"/>
        <w:textAlignment w:val="auto"/>
        <w:rPr>
          <w:rFonts w:hint="eastAsia" w:ascii="宋体" w:hAnsi="宋体" w:cs="宋体"/>
          <w:b/>
          <w:color w:val="auto"/>
          <w:kern w:val="0"/>
          <w:sz w:val="32"/>
          <w:szCs w:val="32"/>
          <w:highlight w:val="none"/>
          <w:lang w:val="en-US" w:eastAsia="zh-CN"/>
        </w:rPr>
      </w:pPr>
    </w:p>
    <w:p w14:paraId="064DB0DD">
      <w:pPr>
        <w:keepNext w:val="0"/>
        <w:keepLines w:val="0"/>
        <w:pageBreakBefore w:val="0"/>
        <w:widowControl/>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惠州大亚湾（国家级）经济技术开发区于1993年5月经国务院批准成立。建区30余年来，我区始终坚持“经济发展与教育提质同频共振”，将教育事业摆在优先发展的战略位置，一手抓产业转型升级筑牢经济根基，一手补教育资源短板破解民生难题，实现了教育事业从全市“洼地”到“高地”的跨越式发展，为区域义务教育优质均衡发展奠定了坚实基础。​</w:t>
      </w:r>
    </w:p>
    <w:p w14:paraId="5D2B23D9">
      <w:pPr>
        <w:keepNext w:val="0"/>
        <w:keepLines w:val="0"/>
        <w:pageBreakBefore w:val="0"/>
        <w:widowControl/>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一</w:t>
      </w:r>
      <w:r>
        <w:rPr>
          <w:rFonts w:hint="eastAsia" w:ascii="黑体" w:hAnsi="黑体" w:eastAsia="黑体" w:cs="黑体"/>
          <w:b w:val="0"/>
          <w:bCs w:val="0"/>
          <w:color w:val="auto"/>
          <w:sz w:val="32"/>
          <w:szCs w:val="32"/>
          <w:highlight w:val="none"/>
          <w:lang w:eastAsia="zh-CN"/>
        </w:rPr>
        <w:t>、</w:t>
      </w:r>
      <w:r>
        <w:rPr>
          <w:rFonts w:hint="eastAsia" w:ascii="黑体" w:hAnsi="黑体" w:eastAsia="黑体" w:cs="黑体"/>
          <w:b w:val="0"/>
          <w:bCs w:val="0"/>
          <w:color w:val="auto"/>
          <w:sz w:val="32"/>
          <w:szCs w:val="32"/>
          <w:highlight w:val="none"/>
          <w:lang w:val="en-US" w:eastAsia="zh-CN"/>
        </w:rPr>
        <w:t>基本情况</w:t>
      </w:r>
    </w:p>
    <w:p w14:paraId="795C2F31">
      <w:pPr>
        <w:keepNext w:val="0"/>
        <w:keepLines w:val="0"/>
        <w:pageBreakBefore w:val="0"/>
        <w:widowControl/>
        <w:shd w:val="clea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大亚湾经济技术开发区下辖澳头、西区、霞涌3个街道办事处。陆地面积293平方公里，占惠州市的2.58%。海域面积（含海岛）1319 平方公里，占惠州市的29.19%。常住人口约60万人、户籍人口约24万人。2024年，全区GDP1036亿元，增长7%，经济总量稳步攀升的同时，产业结构持续优化——大亚湾石化区作为国家级石化产业基地之一，已形成千亿级产业集群，电子信息、汽车装备制造业等战略性新兴产业也呈现蓬勃发展态势。独特的区位优势更让区域发展如虎添翼，我区毗邻深圳坪山区，依托惠州港这一国家一类口岸，构建起“海铁陆空”立体交通网络，为教育资源流动与人才集聚创造了有利条件。我区于2013年并入惠阳区通过“全国义务教育基本均衡发展区”评估验收，2014年创建为“广东省推进教育现代化先进区”。</w:t>
      </w:r>
    </w:p>
    <w:p w14:paraId="10A6D53B">
      <w:pPr>
        <w:keepNext w:val="0"/>
        <w:keepLines w:val="0"/>
        <w:pageBreakBefore w:val="0"/>
        <w:widowControl/>
        <w:shd w:val="clea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十四五”以来，为破解“产业快速发展与教育资源不足”的矛盾，我区持续加大教育投入力度，总投资14.51亿元用于学校建设与教育提质，新改扩建义务教育学校20所，新增义务教育学位26310个；面向社会公开招聘义务教育阶段教师2637人，有效缓解了“学位紧张”与“师资短缺”问题。在此过程中，我区创新探索“高校赋能办学”新模式，先后与北京师范大学、华中师范大学、广东外语外贸大学等知名高校合作创办5所优质学校，开拓教育人才引入渠道，引进名优校长7人，通过“名校带新校、名师育新人”的方式，实现了“办一所优一所”的目标，教育质量跃居全市前列，得到家长与社会的广泛认可。</w:t>
      </w:r>
    </w:p>
    <w:p w14:paraId="3EA1E113">
      <w:pPr>
        <w:keepNext w:val="0"/>
        <w:keepLines w:val="0"/>
        <w:pageBreakBefore w:val="0"/>
        <w:widowControl/>
        <w:shd w:val="clea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2021年起，大亚湾开发区党工委、区管委会以“办好人民满意的教育”为根本目标，将义务教育优质均衡发展列为重大民生工程，成立专项工作领导小组，构建“党工委统一领导、部门协同推进、学校狠抓落实”的工作机制，重点围绕规划引领、学校建设、师资培育、教育改革四大领域精准发力。2025年秋季学期，全区共有义务教育学校49所，其中小学35 所（含4所分校）、初中3所、九年一贯制学校8所、完全中学1所、十二年一贯制学校2所；义务教育阶段在校学生68454人，其中小学学生48731人、初中学生19723人；义务教育专任教师4179人，其中小学2688人，初中1491人，各项评估指标达到国家优质均衡发展标准。</w:t>
      </w:r>
    </w:p>
    <w:p w14:paraId="2342E9F8">
      <w:pPr>
        <w:keepNext w:val="0"/>
        <w:keepLines w:val="0"/>
        <w:pageBreakBefore w:val="0"/>
        <w:widowControl/>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eastAsia="楷体_GB2312" w:cs="Times New Roman"/>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二、指标达标情况</w:t>
      </w:r>
    </w:p>
    <w:p w14:paraId="0B2AB0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Autospacing="0" w:afterAutospacing="0" w:line="560" w:lineRule="exact"/>
        <w:ind w:left="0" w:leftChars="0" w:right="0" w:firstLine="640"/>
        <w:jc w:val="left"/>
        <w:textAlignment w:val="baseline"/>
        <w:rPr>
          <w:rFonts w:hint="eastAsia"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（一）资源配置7项指标自评情况</w:t>
      </w:r>
    </w:p>
    <w:p w14:paraId="16CDC14D">
      <w:pPr>
        <w:keepNext w:val="0"/>
        <w:keepLines w:val="0"/>
        <w:pageBreakBefore w:val="0"/>
        <w:widowControl/>
        <w:numPr>
          <w:ilvl w:val="0"/>
          <w:numId w:val="0"/>
        </w:numPr>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1.</w:t>
      </w:r>
      <w:r>
        <w:rPr>
          <w:rFonts w:hint="eastAsia" w:ascii="仿宋_GB2312" w:hAnsi="仿宋_GB2312" w:eastAsia="仿宋_GB2312" w:cs="仿宋_GB2312"/>
          <w:b w:val="0"/>
          <w:bCs w:val="0"/>
          <w:color w:val="auto"/>
          <w:sz w:val="32"/>
          <w:szCs w:val="32"/>
          <w:highlight w:val="none"/>
          <w:lang w:val="en-US" w:eastAsia="zh-CN"/>
        </w:rPr>
        <w:t>全区小学学生48731人，高于规定学历教师2850人，每百名学生拥有高于规定学历教师5.58人，校际差异系数为0.30；初中学生19723人，高于规定学历教师1510人，每百名学生拥有高于规定学历教师7.66人，校际差异系数为0.12。</w:t>
      </w:r>
      <w:r>
        <w:rPr>
          <w:rFonts w:hint="eastAsia" w:ascii="仿宋_GB2312" w:hAnsi="仿宋_GB2312" w:eastAsia="仿宋_GB2312" w:cs="仿宋_GB2312"/>
          <w:b w:val="0"/>
          <w:bCs w:val="0"/>
          <w:color w:val="auto"/>
          <w:sz w:val="32"/>
          <w:szCs w:val="32"/>
          <w:highlight w:val="none"/>
        </w:rPr>
        <w:t>自评结论：达标。</w:t>
      </w:r>
    </w:p>
    <w:p w14:paraId="3ED4CE42">
      <w:pPr>
        <w:keepNext w:val="0"/>
        <w:keepLines w:val="0"/>
        <w:pageBreakBefore w:val="0"/>
        <w:widowControl/>
        <w:numPr>
          <w:ilvl w:val="0"/>
          <w:numId w:val="0"/>
        </w:numPr>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rPr>
        <w:t>全区小学县级以上骨干教师617人，每百名学生拥有县级以上骨干教师1.27人，校际差异系数为0.29；初中县级以上骨干教师253人，每百名学生拥有县级以上骨干教师1.28人，校际差异系数为0.22。自评结论：达标。</w:t>
      </w:r>
    </w:p>
    <w:p w14:paraId="072E68CC">
      <w:pPr>
        <w:keepNext w:val="0"/>
        <w:keepLines w:val="0"/>
        <w:pageBreakBefore w:val="0"/>
        <w:widowControl/>
        <w:numPr>
          <w:ilvl w:val="0"/>
          <w:numId w:val="0"/>
        </w:numPr>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bidi="ar-SA"/>
        </w:rPr>
        <w:t>3.</w:t>
      </w:r>
      <w:r>
        <w:rPr>
          <w:rFonts w:hint="eastAsia" w:ascii="仿宋_GB2312" w:hAnsi="仿宋_GB2312" w:eastAsia="仿宋_GB2312" w:cs="仿宋_GB2312"/>
          <w:b w:val="0"/>
          <w:bCs w:val="0"/>
          <w:color w:val="auto"/>
          <w:sz w:val="32"/>
          <w:szCs w:val="32"/>
          <w:highlight w:val="none"/>
        </w:rPr>
        <w:t>全区小学体育、艺术专任教师567人，每百名学生拥有体育、艺术专任教师1.16人，校际差异系数为0.29；初中拥有体育、艺术专任教师239人，每百名学生拥有体育、艺术专任教师1.21人，校际差异系数为0.27。自评结论：达标。</w:t>
      </w:r>
    </w:p>
    <w:p w14:paraId="45BFCECE">
      <w:pPr>
        <w:keepNext w:val="0"/>
        <w:keepLines w:val="0"/>
        <w:pageBreakBefore w:val="0"/>
        <w:widowControl/>
        <w:numPr>
          <w:ilvl w:val="0"/>
          <w:numId w:val="0"/>
        </w:numPr>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bidi="ar-SA"/>
        </w:rPr>
        <w:t>4.</w:t>
      </w:r>
      <w:r>
        <w:rPr>
          <w:rFonts w:hint="eastAsia" w:ascii="仿宋_GB2312" w:hAnsi="仿宋_GB2312" w:eastAsia="仿宋_GB2312" w:cs="仿宋_GB2312"/>
          <w:b w:val="0"/>
          <w:bCs w:val="0"/>
          <w:color w:val="auto"/>
          <w:sz w:val="32"/>
          <w:szCs w:val="32"/>
          <w:highlight w:val="none"/>
        </w:rPr>
        <w:t>全区小学教学及辅助用房面积31.0091万平方米，生均教学及辅助用房面积6.36平方米，校际差异系数为0.36；初中教学及辅助用房面积15.2549万平方米，生均教学及辅助用房面积7.73平方米，校际差异系数为0.28。全区有1所小学</w:t>
      </w:r>
      <w:r>
        <w:rPr>
          <w:rFonts w:hint="eastAsia" w:ascii="仿宋_GB2312" w:hAnsi="仿宋_GB2312" w:eastAsia="仿宋_GB2312" w:cs="仿宋_GB2312"/>
          <w:b w:val="0"/>
          <w:bCs w:val="0"/>
          <w:color w:val="auto"/>
          <w:sz w:val="32"/>
          <w:szCs w:val="32"/>
          <w:highlight w:val="none"/>
          <w:lang w:val="en-US" w:eastAsia="zh-CN"/>
        </w:rPr>
        <w:t>高于要求</w:t>
      </w:r>
      <w:r>
        <w:rPr>
          <w:rFonts w:hint="eastAsia" w:ascii="仿宋_GB2312" w:hAnsi="仿宋_GB2312" w:eastAsia="仿宋_GB2312" w:cs="仿宋_GB2312"/>
          <w:b w:val="0"/>
          <w:bCs w:val="0"/>
          <w:color w:val="auto"/>
          <w:sz w:val="32"/>
          <w:szCs w:val="32"/>
          <w:highlight w:val="none"/>
        </w:rPr>
        <w:t>的85%</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自评结论：达标。</w:t>
      </w:r>
    </w:p>
    <w:p w14:paraId="4CD5DFFD">
      <w:pPr>
        <w:keepNext w:val="0"/>
        <w:keepLines w:val="0"/>
        <w:pageBreakBefore w:val="0"/>
        <w:widowControl/>
        <w:numPr>
          <w:ilvl w:val="0"/>
          <w:numId w:val="0"/>
        </w:numPr>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bidi="ar-SA"/>
        </w:rPr>
        <w:t>5.</w:t>
      </w:r>
      <w:r>
        <w:rPr>
          <w:rFonts w:hint="eastAsia" w:ascii="仿宋_GB2312" w:hAnsi="仿宋_GB2312" w:eastAsia="仿宋_GB2312" w:cs="仿宋_GB2312"/>
          <w:b w:val="0"/>
          <w:bCs w:val="0"/>
          <w:color w:val="auto"/>
          <w:sz w:val="32"/>
          <w:szCs w:val="32"/>
          <w:highlight w:val="none"/>
        </w:rPr>
        <w:t>全区小学体育运动场馆面积45.785万平方米，生均体育运动场馆面积9.40平方米，校际差异系数为0.20；初中体育运动场馆面积23.2315万平方米，生均体育运动场馆面积11.78平方米，校际差异系数为0.11。自评结论：达标。</w:t>
      </w:r>
    </w:p>
    <w:p w14:paraId="733ED32C">
      <w:pPr>
        <w:keepNext w:val="0"/>
        <w:keepLines w:val="0"/>
        <w:pageBreakBefore w:val="0"/>
        <w:widowControl/>
        <w:numPr>
          <w:ilvl w:val="0"/>
          <w:numId w:val="0"/>
        </w:numPr>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bidi="ar-SA"/>
        </w:rPr>
        <w:t>6.</w:t>
      </w:r>
      <w:r>
        <w:rPr>
          <w:rFonts w:hint="eastAsia" w:ascii="仿宋_GB2312" w:hAnsi="仿宋_GB2312" w:eastAsia="仿宋_GB2312" w:cs="仿宋_GB2312"/>
          <w:b w:val="0"/>
          <w:bCs w:val="0"/>
          <w:color w:val="auto"/>
          <w:sz w:val="32"/>
          <w:szCs w:val="32"/>
          <w:highlight w:val="none"/>
        </w:rPr>
        <w:t>全区小学教学仪器设备1.5551亿元，生均教学仪器设备3191元，校际差异系数为0.40；</w:t>
      </w:r>
      <w:r>
        <w:rPr>
          <w:rFonts w:hint="eastAsia" w:ascii="仿宋_GB2312" w:hAnsi="仿宋_GB2312" w:eastAsia="仿宋_GB2312" w:cs="仿宋_GB2312"/>
          <w:b w:val="0"/>
          <w:bCs w:val="0"/>
          <w:color w:val="auto"/>
          <w:sz w:val="32"/>
          <w:szCs w:val="32"/>
          <w:highlight w:val="none"/>
          <w:lang w:val="en-US" w:eastAsia="zh-CN"/>
        </w:rPr>
        <w:t>全区</w:t>
      </w:r>
      <w:r>
        <w:rPr>
          <w:rFonts w:hint="eastAsia" w:ascii="仿宋_GB2312" w:hAnsi="仿宋_GB2312" w:eastAsia="仿宋_GB2312" w:cs="仿宋_GB2312"/>
          <w:b w:val="0"/>
          <w:bCs w:val="0"/>
          <w:color w:val="auto"/>
          <w:sz w:val="32"/>
          <w:szCs w:val="32"/>
          <w:highlight w:val="none"/>
        </w:rPr>
        <w:t>初中教学仪器设备0.8151亿元，生均教学仪器设备4133元，校际差异系数为0.38。自评结论：达标。</w:t>
      </w:r>
    </w:p>
    <w:p w14:paraId="68EAA99B">
      <w:pPr>
        <w:keepNext w:val="0"/>
        <w:keepLines w:val="0"/>
        <w:pageBreakBefore w:val="0"/>
        <w:widowControl/>
        <w:numPr>
          <w:ilvl w:val="0"/>
          <w:numId w:val="0"/>
        </w:numPr>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bidi="ar-SA"/>
        </w:rPr>
        <w:t>7.</w:t>
      </w:r>
      <w:r>
        <w:rPr>
          <w:rFonts w:hint="eastAsia" w:ascii="仿宋_GB2312" w:hAnsi="仿宋_GB2312" w:eastAsia="仿宋_GB2312" w:cs="仿宋_GB2312"/>
          <w:b w:val="0"/>
          <w:bCs w:val="0"/>
          <w:color w:val="auto"/>
          <w:sz w:val="32"/>
          <w:szCs w:val="32"/>
          <w:highlight w:val="none"/>
        </w:rPr>
        <w:t>全区小学网络多媒体教室1457间，每百名学生拥有网络多媒体教室2.99间，校际差异系数为0.24；</w:t>
      </w:r>
      <w:r>
        <w:rPr>
          <w:rFonts w:hint="eastAsia" w:ascii="仿宋_GB2312" w:hAnsi="仿宋_GB2312" w:eastAsia="仿宋_GB2312" w:cs="仿宋_GB2312"/>
          <w:b w:val="0"/>
          <w:bCs w:val="0"/>
          <w:color w:val="auto"/>
          <w:sz w:val="32"/>
          <w:szCs w:val="32"/>
          <w:highlight w:val="none"/>
          <w:lang w:val="en-US" w:eastAsia="zh-CN"/>
        </w:rPr>
        <w:t>全区</w:t>
      </w:r>
      <w:r>
        <w:rPr>
          <w:rFonts w:hint="eastAsia" w:ascii="仿宋_GB2312" w:hAnsi="仿宋_GB2312" w:eastAsia="仿宋_GB2312" w:cs="仿宋_GB2312"/>
          <w:b w:val="0"/>
          <w:bCs w:val="0"/>
          <w:color w:val="auto"/>
          <w:sz w:val="32"/>
          <w:szCs w:val="32"/>
          <w:highlight w:val="none"/>
        </w:rPr>
        <w:t>初中网络多媒体教室632间，每百名学生拥有网络多媒体教室3.21间，校际差异系数为0.22。自评结论：达标。</w:t>
      </w:r>
    </w:p>
    <w:p w14:paraId="7593DC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Autospacing="0" w:afterAutospacing="0" w:line="560" w:lineRule="exact"/>
        <w:ind w:left="0" w:leftChars="0" w:right="0" w:firstLine="640"/>
        <w:jc w:val="left"/>
        <w:textAlignment w:val="baseline"/>
        <w:rPr>
          <w:rFonts w:hint="eastAsia"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（二）政府保障程度15项指标自评情况</w:t>
      </w:r>
    </w:p>
    <w:p w14:paraId="73109AC3">
      <w:pPr>
        <w:keepNext w:val="0"/>
        <w:keepLines w:val="0"/>
        <w:pageBreakBefore w:val="0"/>
        <w:widowControl/>
        <w:numPr>
          <w:ilvl w:val="0"/>
          <w:numId w:val="0"/>
        </w:numPr>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bidi="ar-SA"/>
        </w:rPr>
        <w:t>8.</w:t>
      </w:r>
      <w:r>
        <w:rPr>
          <w:rFonts w:hint="eastAsia" w:ascii="仿宋_GB2312" w:hAnsi="仿宋_GB2312" w:eastAsia="仿宋_GB2312" w:cs="仿宋_GB2312"/>
          <w:b w:val="0"/>
          <w:bCs w:val="0"/>
          <w:color w:val="auto"/>
          <w:sz w:val="32"/>
          <w:szCs w:val="32"/>
          <w:highlight w:val="none"/>
        </w:rPr>
        <w:t>全区充分考虑城市空间布局、人口分布特点、学龄人口变化趋势，制定了教育设施布点规划，并按照此规划组织实施建设。自评结论：达标。</w:t>
      </w:r>
    </w:p>
    <w:p w14:paraId="7DB6E8F0">
      <w:pPr>
        <w:keepNext w:val="0"/>
        <w:keepLines w:val="0"/>
        <w:pageBreakBefore w:val="0"/>
        <w:widowControl/>
        <w:numPr>
          <w:ilvl w:val="0"/>
          <w:numId w:val="0"/>
        </w:numPr>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bidi="ar-SA"/>
        </w:rPr>
        <w:t>9.</w:t>
      </w:r>
      <w:r>
        <w:rPr>
          <w:rFonts w:hint="eastAsia" w:ascii="仿宋_GB2312" w:hAnsi="仿宋_GB2312" w:eastAsia="仿宋_GB2312" w:cs="仿宋_GB2312"/>
          <w:b w:val="0"/>
          <w:bCs w:val="0"/>
          <w:color w:val="auto"/>
          <w:sz w:val="32"/>
          <w:szCs w:val="32"/>
          <w:highlight w:val="none"/>
        </w:rPr>
        <w:t>全区义务教育学校严格按照《广东省义务教育标准化学校标准》（粤教基〔2013〕7号）、惠州市城乡规划管理技术规定（2020）</w:t>
      </w:r>
      <w:r>
        <w:rPr>
          <w:rFonts w:hint="eastAsia" w:ascii="仿宋_GB2312" w:hAnsi="仿宋_GB2312" w:eastAsia="仿宋_GB2312" w:cs="仿宋_GB2312"/>
          <w:b w:val="0"/>
          <w:bCs w:val="0"/>
          <w:color w:val="auto"/>
          <w:sz w:val="32"/>
          <w:szCs w:val="32"/>
          <w:highlight w:val="none"/>
          <w:lang w:eastAsia="zh-CN"/>
        </w:rPr>
        <w:t>、广东省教育装备标准</w:t>
      </w:r>
      <w:r>
        <w:rPr>
          <w:rFonts w:hint="eastAsia" w:ascii="仿宋_GB2312" w:hAnsi="仿宋_GB2312" w:eastAsia="仿宋_GB2312" w:cs="仿宋_GB2312"/>
          <w:b w:val="0"/>
          <w:bCs w:val="0"/>
          <w:color w:val="auto"/>
          <w:sz w:val="32"/>
          <w:szCs w:val="32"/>
          <w:highlight w:val="none"/>
        </w:rPr>
        <w:t>等相关</w:t>
      </w:r>
      <w:r>
        <w:rPr>
          <w:rFonts w:hint="eastAsia" w:ascii="仿宋_GB2312" w:hAnsi="仿宋_GB2312" w:eastAsia="仿宋_GB2312" w:cs="仿宋_GB2312"/>
          <w:b w:val="0"/>
          <w:bCs w:val="0"/>
          <w:color w:val="auto"/>
          <w:sz w:val="32"/>
          <w:szCs w:val="32"/>
          <w:highlight w:val="none"/>
          <w:lang w:val="en-US" w:eastAsia="zh-CN"/>
        </w:rPr>
        <w:t>文件</w:t>
      </w:r>
      <w:r>
        <w:rPr>
          <w:rFonts w:hint="eastAsia" w:ascii="仿宋_GB2312" w:hAnsi="仿宋_GB2312" w:eastAsia="仿宋_GB2312" w:cs="仿宋_GB2312"/>
          <w:b w:val="0"/>
          <w:bCs w:val="0"/>
          <w:color w:val="auto"/>
          <w:sz w:val="32"/>
          <w:szCs w:val="32"/>
          <w:highlight w:val="none"/>
        </w:rPr>
        <w:t>建设</w:t>
      </w:r>
      <w:r>
        <w:rPr>
          <w:rFonts w:hint="eastAsia" w:ascii="仿宋_GB2312" w:hAnsi="仿宋_GB2312" w:eastAsia="仿宋_GB2312" w:cs="仿宋_GB2312"/>
          <w:b w:val="0"/>
          <w:bCs w:val="0"/>
          <w:color w:val="auto"/>
          <w:sz w:val="32"/>
          <w:szCs w:val="32"/>
          <w:highlight w:val="none"/>
          <w:lang w:val="en-US" w:eastAsia="zh-CN"/>
        </w:rPr>
        <w:t>和装备</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统一按</w:t>
      </w:r>
      <w:r>
        <w:rPr>
          <w:rFonts w:hint="eastAsia" w:ascii="仿宋_GB2312" w:hAnsi="仿宋_GB2312" w:eastAsia="仿宋_GB2312" w:cs="仿宋_GB2312"/>
          <w:b w:val="0"/>
          <w:bCs w:val="0"/>
          <w:color w:val="auto"/>
          <w:sz w:val="32"/>
          <w:szCs w:val="32"/>
          <w:highlight w:val="none"/>
        </w:rPr>
        <w:t>照省定标准</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小学1150元/人/年、初中1950元/人/年</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下拨生均公用经费</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按照初中1:13.5、小学1:19的标准统一核定教师编制</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自评结论：达标。</w:t>
      </w:r>
    </w:p>
    <w:p w14:paraId="717814B2">
      <w:pPr>
        <w:keepNext w:val="0"/>
        <w:keepLines w:val="0"/>
        <w:pageBreakBefore w:val="0"/>
        <w:widowControl/>
        <w:numPr>
          <w:ilvl w:val="0"/>
          <w:numId w:val="0"/>
        </w:numPr>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bidi="ar-SA"/>
        </w:rPr>
        <w:t>10.</w:t>
      </w:r>
      <w:r>
        <w:rPr>
          <w:rFonts w:hint="eastAsia" w:ascii="仿宋_GB2312" w:hAnsi="仿宋_GB2312" w:eastAsia="仿宋_GB2312" w:cs="仿宋_GB2312"/>
          <w:b w:val="0"/>
          <w:bCs w:val="0"/>
          <w:color w:val="auto"/>
          <w:sz w:val="32"/>
          <w:szCs w:val="32"/>
          <w:highlight w:val="none"/>
        </w:rPr>
        <w:t>全区义务教育学校4</w:t>
      </w:r>
      <w:r>
        <w:rPr>
          <w:rFonts w:hint="eastAsia" w:ascii="仿宋_GB2312" w:hAnsi="仿宋_GB2312" w:eastAsia="仿宋_GB2312" w:cs="仿宋_GB2312"/>
          <w:b w:val="0"/>
          <w:bCs w:val="0"/>
          <w:color w:val="auto"/>
          <w:sz w:val="32"/>
          <w:szCs w:val="32"/>
          <w:highlight w:val="none"/>
          <w:lang w:val="en-US" w:eastAsia="zh-CN"/>
        </w:rPr>
        <w:t>9</w:t>
      </w:r>
      <w:r>
        <w:rPr>
          <w:rFonts w:hint="eastAsia" w:ascii="仿宋_GB2312" w:hAnsi="仿宋_GB2312" w:eastAsia="仿宋_GB2312" w:cs="仿宋_GB2312"/>
          <w:b w:val="0"/>
          <w:bCs w:val="0"/>
          <w:color w:val="auto"/>
          <w:sz w:val="32"/>
          <w:szCs w:val="32"/>
          <w:highlight w:val="none"/>
        </w:rPr>
        <w:t>所，班级总数1518个，音乐、美术专用教室分别13</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rPr>
        <w:t>间、1</w:t>
      </w:r>
      <w:r>
        <w:rPr>
          <w:rFonts w:hint="eastAsia" w:ascii="仿宋_GB2312" w:hAnsi="仿宋_GB2312" w:eastAsia="仿宋_GB2312" w:cs="仿宋_GB2312"/>
          <w:b w:val="0"/>
          <w:bCs w:val="0"/>
          <w:color w:val="auto"/>
          <w:sz w:val="32"/>
          <w:szCs w:val="32"/>
          <w:highlight w:val="none"/>
          <w:lang w:val="en-US" w:eastAsia="zh-CN"/>
        </w:rPr>
        <w:t>20</w:t>
      </w:r>
      <w:r>
        <w:rPr>
          <w:rFonts w:hint="eastAsia" w:ascii="仿宋_GB2312" w:hAnsi="仿宋_GB2312" w:eastAsia="仿宋_GB2312" w:cs="仿宋_GB2312"/>
          <w:b w:val="0"/>
          <w:bCs w:val="0"/>
          <w:color w:val="auto"/>
          <w:sz w:val="32"/>
          <w:szCs w:val="32"/>
          <w:highlight w:val="none"/>
        </w:rPr>
        <w:t>间，两类教室数量达标学校2</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rPr>
        <w:t>所，全区学校音乐、美术课开齐开足开好，历次市教育质量监测综合科（包含音乐、美术）成绩在全市各县区名列前茅。自评结论：</w:t>
      </w:r>
      <w:r>
        <w:rPr>
          <w:rFonts w:hint="eastAsia" w:ascii="仿宋_GB2312" w:hAnsi="仿宋_GB2312" w:eastAsia="仿宋_GB2312" w:cs="仿宋_GB2312"/>
          <w:b w:val="0"/>
          <w:bCs w:val="0"/>
          <w:color w:val="auto"/>
          <w:sz w:val="32"/>
          <w:szCs w:val="32"/>
          <w:highlight w:val="none"/>
          <w:lang w:val="en-US" w:eastAsia="zh-CN"/>
        </w:rPr>
        <w:t>整改</w:t>
      </w:r>
      <w:r>
        <w:rPr>
          <w:rFonts w:hint="eastAsia" w:ascii="仿宋_GB2312" w:hAnsi="仿宋_GB2312" w:eastAsia="仿宋_GB2312" w:cs="仿宋_GB2312"/>
          <w:b w:val="0"/>
          <w:bCs w:val="0"/>
          <w:color w:val="auto"/>
          <w:sz w:val="32"/>
          <w:szCs w:val="32"/>
          <w:highlight w:val="none"/>
        </w:rPr>
        <w:t>达标。</w:t>
      </w:r>
    </w:p>
    <w:p w14:paraId="5F343081">
      <w:pPr>
        <w:keepNext w:val="0"/>
        <w:keepLines w:val="0"/>
        <w:pageBreakBefore w:val="0"/>
        <w:widowControl/>
        <w:numPr>
          <w:ilvl w:val="0"/>
          <w:numId w:val="0"/>
        </w:numPr>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bidi="ar-SA"/>
        </w:rPr>
        <w:t>11.</w:t>
      </w:r>
      <w:r>
        <w:rPr>
          <w:rFonts w:hint="eastAsia" w:ascii="仿宋_GB2312" w:hAnsi="仿宋_GB2312" w:eastAsia="仿宋_GB2312" w:cs="仿宋_GB2312"/>
          <w:b w:val="0"/>
          <w:bCs w:val="0"/>
          <w:color w:val="auto"/>
          <w:sz w:val="32"/>
          <w:szCs w:val="32"/>
          <w:highlight w:val="none"/>
        </w:rPr>
        <w:t>全区义务教育学校49所，超规模学校</w:t>
      </w: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rPr>
        <w:t>所（其中，超过2000人的小学</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所，初中1所，超过2500人的一贯制学校</w:t>
      </w: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rPr>
        <w:t>所），将通过大亚湾区义务教育阶段学校大班额、大校额化解方案，以及“一校一策”整改方案，逐步全面消除存量超校额。自评结论：</w:t>
      </w:r>
      <w:r>
        <w:rPr>
          <w:rFonts w:hint="eastAsia" w:ascii="仿宋_GB2312" w:hAnsi="仿宋_GB2312" w:eastAsia="仿宋_GB2312" w:cs="仿宋_GB2312"/>
          <w:b w:val="0"/>
          <w:bCs w:val="0"/>
          <w:color w:val="auto"/>
          <w:sz w:val="32"/>
          <w:szCs w:val="32"/>
          <w:highlight w:val="none"/>
          <w:lang w:val="en-US" w:eastAsia="zh-CN"/>
        </w:rPr>
        <w:t>整改</w:t>
      </w:r>
      <w:r>
        <w:rPr>
          <w:rFonts w:hint="eastAsia" w:ascii="仿宋_GB2312" w:hAnsi="仿宋_GB2312" w:eastAsia="仿宋_GB2312" w:cs="仿宋_GB2312"/>
          <w:b w:val="0"/>
          <w:bCs w:val="0"/>
          <w:color w:val="auto"/>
          <w:sz w:val="32"/>
          <w:szCs w:val="32"/>
          <w:highlight w:val="none"/>
        </w:rPr>
        <w:t>达标。</w:t>
      </w:r>
    </w:p>
    <w:p w14:paraId="6FD211F6">
      <w:pPr>
        <w:keepNext w:val="0"/>
        <w:keepLines w:val="0"/>
        <w:pageBreakBefore w:val="0"/>
        <w:widowControl/>
        <w:numPr>
          <w:ilvl w:val="0"/>
          <w:numId w:val="0"/>
        </w:numPr>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bidi="ar-SA"/>
        </w:rPr>
        <w:t>12.</w:t>
      </w:r>
      <w:r>
        <w:rPr>
          <w:rFonts w:hint="eastAsia" w:ascii="仿宋_GB2312" w:hAnsi="仿宋_GB2312" w:eastAsia="仿宋_GB2312" w:cs="仿宋_GB2312"/>
          <w:b w:val="0"/>
          <w:bCs w:val="0"/>
          <w:color w:val="auto"/>
          <w:sz w:val="32"/>
          <w:szCs w:val="32"/>
          <w:highlight w:val="none"/>
        </w:rPr>
        <w:t>全区义务教育阶段学校共有班级数1518个，超过45人的小学班级679个，超过50人的初中班级154个。将通过大亚湾区义务教育阶段学校大班额、大校额化解方案，以及“一校一策”整改方案，逐步全面消除存量超班额。自评结论：</w:t>
      </w:r>
      <w:r>
        <w:rPr>
          <w:rFonts w:hint="eastAsia" w:ascii="仿宋_GB2312" w:hAnsi="仿宋_GB2312" w:eastAsia="仿宋_GB2312" w:cs="仿宋_GB2312"/>
          <w:b w:val="0"/>
          <w:bCs w:val="0"/>
          <w:color w:val="auto"/>
          <w:sz w:val="32"/>
          <w:szCs w:val="32"/>
          <w:highlight w:val="none"/>
          <w:lang w:val="en-US" w:eastAsia="zh-CN"/>
        </w:rPr>
        <w:t>整改</w:t>
      </w:r>
      <w:r>
        <w:rPr>
          <w:rFonts w:hint="eastAsia" w:ascii="仿宋_GB2312" w:hAnsi="仿宋_GB2312" w:eastAsia="仿宋_GB2312" w:cs="仿宋_GB2312"/>
          <w:b w:val="0"/>
          <w:bCs w:val="0"/>
          <w:color w:val="auto"/>
          <w:sz w:val="32"/>
          <w:szCs w:val="32"/>
          <w:highlight w:val="none"/>
        </w:rPr>
        <w:t>达标。</w:t>
      </w:r>
    </w:p>
    <w:p w14:paraId="4B40B56F">
      <w:pPr>
        <w:keepNext w:val="0"/>
        <w:keepLines w:val="0"/>
        <w:pageBreakBefore w:val="0"/>
        <w:widowControl/>
        <w:numPr>
          <w:ilvl w:val="0"/>
          <w:numId w:val="0"/>
        </w:numPr>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13.</w:t>
      </w:r>
      <w:r>
        <w:rPr>
          <w:rFonts w:hint="eastAsia" w:ascii="仿宋_GB2312" w:hAnsi="仿宋_GB2312" w:eastAsia="仿宋_GB2312" w:cs="仿宋_GB2312"/>
          <w:b w:val="0"/>
          <w:bCs w:val="0"/>
          <w:color w:val="auto"/>
          <w:sz w:val="32"/>
          <w:szCs w:val="32"/>
          <w:highlight w:val="none"/>
        </w:rPr>
        <w:t>全区不足100名学生的小学2024-2025学年1所、2025-2026学年3所，均按100人核定</w:t>
      </w:r>
      <w:r>
        <w:rPr>
          <w:rFonts w:hint="eastAsia" w:ascii="仿宋_GB2312" w:hAnsi="仿宋_GB2312" w:eastAsia="仿宋_GB2312" w:cs="仿宋_GB2312"/>
          <w:b w:val="0"/>
          <w:bCs w:val="0"/>
          <w:color w:val="auto"/>
          <w:sz w:val="32"/>
          <w:szCs w:val="32"/>
          <w:highlight w:val="none"/>
          <w:lang w:val="en-US" w:eastAsia="zh-CN"/>
        </w:rPr>
        <w:t>生均</w:t>
      </w:r>
      <w:r>
        <w:rPr>
          <w:rFonts w:hint="eastAsia" w:ascii="仿宋_GB2312" w:hAnsi="仿宋_GB2312" w:eastAsia="仿宋_GB2312" w:cs="仿宋_GB2312"/>
          <w:b w:val="0"/>
          <w:bCs w:val="0"/>
          <w:color w:val="auto"/>
          <w:sz w:val="32"/>
          <w:szCs w:val="32"/>
          <w:highlight w:val="none"/>
        </w:rPr>
        <w:t>公用经费。已落实对寄宿制学校按寄宿生年生均350元标准增加公用经费补助政策。自评结论：达标。</w:t>
      </w:r>
    </w:p>
    <w:p w14:paraId="74116553">
      <w:pPr>
        <w:keepNext w:val="0"/>
        <w:keepLines w:val="0"/>
        <w:pageBreakBefore w:val="0"/>
        <w:widowControl/>
        <w:numPr>
          <w:ilvl w:val="0"/>
          <w:numId w:val="0"/>
        </w:numPr>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bidi="ar-SA"/>
        </w:rPr>
        <w:t>14.</w:t>
      </w:r>
      <w:r>
        <w:rPr>
          <w:rFonts w:hint="eastAsia" w:ascii="仿宋_GB2312" w:hAnsi="仿宋_GB2312" w:eastAsia="仿宋_GB2312" w:cs="仿宋_GB2312"/>
          <w:b w:val="0"/>
          <w:bCs w:val="0"/>
          <w:color w:val="auto"/>
          <w:sz w:val="32"/>
          <w:szCs w:val="32"/>
          <w:highlight w:val="none"/>
        </w:rPr>
        <w:t>2024年全区特殊教育学校生均公用经费已按照6000元/年的标准下拨。自评结论：达标。</w:t>
      </w:r>
    </w:p>
    <w:p w14:paraId="552E0EE5">
      <w:pPr>
        <w:keepNext w:val="0"/>
        <w:keepLines w:val="0"/>
        <w:pageBreakBefore w:val="0"/>
        <w:widowControl/>
        <w:numPr>
          <w:ilvl w:val="0"/>
          <w:numId w:val="0"/>
        </w:numPr>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bidi="ar-SA"/>
        </w:rPr>
        <w:t>15.</w:t>
      </w:r>
      <w:r>
        <w:rPr>
          <w:rFonts w:hint="eastAsia" w:ascii="仿宋_GB2312" w:hAnsi="仿宋_GB2312" w:eastAsia="仿宋_GB2312" w:cs="仿宋_GB2312"/>
          <w:b w:val="0"/>
          <w:bCs w:val="0"/>
          <w:color w:val="auto"/>
          <w:sz w:val="32"/>
          <w:szCs w:val="32"/>
          <w:highlight w:val="none"/>
        </w:rPr>
        <w:t>全区义务教育学校教师平均工资收入水平略高于当地公务员平均工资收入水平。自评结论：达标。</w:t>
      </w:r>
    </w:p>
    <w:p w14:paraId="23C66F79">
      <w:pPr>
        <w:keepNext w:val="0"/>
        <w:keepLines w:val="0"/>
        <w:pageBreakBefore w:val="0"/>
        <w:widowControl/>
        <w:numPr>
          <w:ilvl w:val="0"/>
          <w:numId w:val="0"/>
        </w:numPr>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16.</w:t>
      </w:r>
      <w:r>
        <w:rPr>
          <w:rFonts w:hint="eastAsia" w:ascii="仿宋_GB2312" w:hAnsi="仿宋_GB2312" w:eastAsia="仿宋_GB2312" w:cs="仿宋_GB2312"/>
          <w:b w:val="0"/>
          <w:bCs w:val="0"/>
          <w:color w:val="auto"/>
          <w:sz w:val="32"/>
          <w:szCs w:val="32"/>
          <w:highlight w:val="none"/>
        </w:rPr>
        <w:t>全区教师5年360学时培训完成率达到100%。</w:t>
      </w:r>
      <w:r>
        <w:rPr>
          <w:rFonts w:hint="eastAsia" w:ascii="仿宋_GB2312" w:hAnsi="仿宋_GB2312" w:eastAsia="仿宋_GB2312" w:cs="仿宋_GB2312"/>
          <w:b w:val="0"/>
          <w:bCs w:val="0"/>
          <w:color w:val="auto"/>
          <w:sz w:val="32"/>
          <w:szCs w:val="32"/>
          <w:highlight w:val="none"/>
          <w:lang w:val="en-US" w:eastAsia="zh-CN"/>
        </w:rPr>
        <w:t>自评结论：达标。</w:t>
      </w:r>
    </w:p>
    <w:p w14:paraId="202C737B">
      <w:pPr>
        <w:keepNext w:val="0"/>
        <w:keepLines w:val="0"/>
        <w:pageBreakBefore w:val="0"/>
        <w:widowControl/>
        <w:shd w:val="clea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bidi="ar-SA"/>
        </w:rPr>
        <w:t>17.</w:t>
      </w:r>
      <w:r>
        <w:rPr>
          <w:rFonts w:hint="eastAsia" w:ascii="仿宋_GB2312" w:hAnsi="仿宋_GB2312" w:eastAsia="仿宋_GB2312" w:cs="仿宋_GB2312"/>
          <w:b w:val="0"/>
          <w:bCs w:val="0"/>
          <w:color w:val="auto"/>
          <w:kern w:val="0"/>
          <w:sz w:val="32"/>
          <w:szCs w:val="32"/>
          <w:highlight w:val="none"/>
          <w:lang w:val="en-US" w:eastAsia="zh-CN" w:bidi="ar"/>
        </w:rPr>
        <w:t>全区公办中小学事业编制限额共3308名，在核定限额内统筹分配各校教职工编制和岗位数量。</w:t>
      </w:r>
      <w:r>
        <w:rPr>
          <w:rFonts w:hint="eastAsia" w:ascii="仿宋_GB2312" w:hAnsi="仿宋_GB2312" w:eastAsia="仿宋_GB2312" w:cs="仿宋_GB2312"/>
          <w:b w:val="0"/>
          <w:bCs w:val="0"/>
          <w:color w:val="auto"/>
          <w:sz w:val="32"/>
          <w:szCs w:val="32"/>
          <w:highlight w:val="none"/>
        </w:rPr>
        <w:t>自评结论：达标。</w:t>
      </w:r>
    </w:p>
    <w:p w14:paraId="120CC057">
      <w:pPr>
        <w:keepNext w:val="0"/>
        <w:keepLines w:val="0"/>
        <w:pageBreakBefore w:val="0"/>
        <w:widowControl/>
        <w:shd w:val="clea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bidi="ar-SA"/>
        </w:rPr>
        <w:t>18.</w:t>
      </w:r>
      <w:r>
        <w:rPr>
          <w:rFonts w:hint="eastAsia" w:ascii="仿宋_GB2312" w:hAnsi="仿宋_GB2312" w:eastAsia="仿宋_GB2312" w:cs="仿宋_GB2312"/>
          <w:b w:val="0"/>
          <w:bCs w:val="0"/>
          <w:color w:val="auto"/>
          <w:sz w:val="32"/>
          <w:szCs w:val="32"/>
          <w:highlight w:val="none"/>
        </w:rPr>
        <w:t>2024年，全区符合交流条件教师总数837人</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实际</w:t>
      </w:r>
      <w:r>
        <w:rPr>
          <w:rFonts w:hint="eastAsia" w:ascii="仿宋_GB2312" w:hAnsi="仿宋_GB2312" w:eastAsia="仿宋_GB2312" w:cs="仿宋_GB2312"/>
          <w:b w:val="0"/>
          <w:bCs w:val="0"/>
          <w:color w:val="auto"/>
          <w:sz w:val="32"/>
          <w:szCs w:val="32"/>
          <w:highlight w:val="none"/>
        </w:rPr>
        <w:t>交流轮岗教师371人，占比44.32%；其中，骨干教师115人，占交流轮岗教师总数的31.00%。自评结论：达标。</w:t>
      </w:r>
    </w:p>
    <w:p w14:paraId="27AEEA77">
      <w:pPr>
        <w:keepNext w:val="0"/>
        <w:keepLines w:val="0"/>
        <w:pageBreakBefore w:val="0"/>
        <w:widowControl/>
        <w:numPr>
          <w:ilvl w:val="0"/>
          <w:numId w:val="0"/>
        </w:numPr>
        <w:suppressLineNumbers w:val="0"/>
        <w:shd w:val="clear"/>
        <w:kinsoku/>
        <w:wordWrap/>
        <w:overflowPunct/>
        <w:autoSpaceDE/>
        <w:autoSpaceDN/>
        <w:bidi w:val="0"/>
        <w:adjustRightInd/>
        <w:snapToGrid/>
        <w:spacing w:line="560" w:lineRule="exact"/>
        <w:ind w:left="0" w:leftChars="0" w:firstLine="640" w:firstLineChars="200"/>
        <w:jc w:val="both"/>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bidi="ar-SA"/>
        </w:rPr>
        <w:t>19.全区义务教育学校专任教师4178人，持证率100%。在招聘、选聘、调动时均要求教师持有相应学历及与岗位相符的教师资格证，并在教师入职时严格把关。</w:t>
      </w:r>
      <w:r>
        <w:rPr>
          <w:rFonts w:hint="eastAsia" w:ascii="仿宋_GB2312" w:hAnsi="仿宋_GB2312" w:eastAsia="仿宋_GB2312" w:cs="仿宋_GB2312"/>
          <w:b w:val="0"/>
          <w:bCs w:val="0"/>
          <w:color w:val="auto"/>
          <w:sz w:val="32"/>
          <w:szCs w:val="32"/>
          <w:highlight w:val="none"/>
        </w:rPr>
        <w:t>自评结论：达标。</w:t>
      </w:r>
    </w:p>
    <w:p w14:paraId="28D9F0EC">
      <w:pPr>
        <w:keepNext w:val="0"/>
        <w:keepLines w:val="0"/>
        <w:pageBreakBefore w:val="0"/>
        <w:widowControl/>
        <w:numPr>
          <w:ilvl w:val="0"/>
          <w:numId w:val="0"/>
        </w:numPr>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bidi="ar-SA"/>
        </w:rPr>
        <w:t>20.全区义务教育公办学校坚持“学校划片招生、免试就近入学”，公办小学和初中（均不含寄宿制学校）就近划片入学比例均达100%。</w:t>
      </w:r>
      <w:r>
        <w:rPr>
          <w:rFonts w:hint="eastAsia" w:ascii="仿宋_GB2312" w:hAnsi="仿宋_GB2312" w:eastAsia="仿宋_GB2312" w:cs="仿宋_GB2312"/>
          <w:b w:val="0"/>
          <w:bCs w:val="0"/>
          <w:color w:val="auto"/>
          <w:sz w:val="32"/>
          <w:szCs w:val="32"/>
          <w:highlight w:val="none"/>
          <w:lang w:val="en-US" w:eastAsia="zh-CN"/>
        </w:rPr>
        <w:t>全区</w:t>
      </w:r>
      <w:r>
        <w:rPr>
          <w:rFonts w:hint="eastAsia" w:ascii="仿宋_GB2312" w:hAnsi="仿宋_GB2312" w:eastAsia="仿宋_GB2312" w:cs="仿宋_GB2312"/>
          <w:b w:val="0"/>
          <w:bCs w:val="0"/>
          <w:color w:val="auto"/>
          <w:sz w:val="32"/>
          <w:szCs w:val="32"/>
          <w:highlight w:val="none"/>
        </w:rPr>
        <w:t>义务教育阶段民办学校招生采取分批次直接录取与电脑随机摇号录取相结合的方式进行招生</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确保公平公开公正。</w:t>
      </w:r>
      <w:r>
        <w:rPr>
          <w:rFonts w:hint="eastAsia" w:ascii="仿宋_GB2312" w:hAnsi="仿宋_GB2312" w:eastAsia="仿宋_GB2312" w:cs="仿宋_GB2312"/>
          <w:b w:val="0"/>
          <w:bCs w:val="0"/>
          <w:color w:val="auto"/>
          <w:sz w:val="32"/>
          <w:szCs w:val="32"/>
          <w:highlight w:val="none"/>
        </w:rPr>
        <w:t>自评结论：达标。</w:t>
      </w:r>
    </w:p>
    <w:p w14:paraId="2E76F00B">
      <w:pPr>
        <w:keepNext w:val="0"/>
        <w:keepLines w:val="0"/>
        <w:pageBreakBefore w:val="0"/>
        <w:widowControl/>
        <w:numPr>
          <w:ilvl w:val="0"/>
          <w:numId w:val="0"/>
        </w:numPr>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bidi="ar-SA"/>
        </w:rPr>
        <w:t>21.</w:t>
      </w:r>
      <w:r>
        <w:rPr>
          <w:rFonts w:hint="eastAsia" w:ascii="仿宋_GB2312" w:hAnsi="仿宋_GB2312" w:eastAsia="仿宋_GB2312" w:cs="仿宋_GB2312"/>
          <w:b w:val="0"/>
          <w:bCs w:val="0"/>
          <w:color w:val="auto"/>
          <w:sz w:val="32"/>
          <w:szCs w:val="32"/>
          <w:highlight w:val="none"/>
        </w:rPr>
        <w:t>全区严格按照上级有关要求和文件精神，优质普通高中学校招生名额直分辖区内初中学校比例保持50%以上，并向薄弱学校、农村学校倾斜。直分名额招生采用单独录取的招生办法，执行国家和省的有关规定</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自评结论：达标。</w:t>
      </w:r>
    </w:p>
    <w:p w14:paraId="3974E134">
      <w:pPr>
        <w:keepNext w:val="0"/>
        <w:keepLines w:val="0"/>
        <w:pageBreakBefore w:val="0"/>
        <w:widowControl/>
        <w:numPr>
          <w:ilvl w:val="0"/>
          <w:numId w:val="0"/>
        </w:numPr>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bidi="ar-SA"/>
        </w:rPr>
        <w:t>22.</w:t>
      </w:r>
      <w:r>
        <w:rPr>
          <w:rFonts w:hint="eastAsia" w:ascii="仿宋_GB2312" w:hAnsi="仿宋_GB2312" w:eastAsia="仿宋_GB2312" w:cs="仿宋_GB2312"/>
          <w:b w:val="0"/>
          <w:bCs w:val="0"/>
          <w:color w:val="auto"/>
          <w:sz w:val="32"/>
          <w:szCs w:val="32"/>
          <w:highlight w:val="none"/>
        </w:rPr>
        <w:t>全区从2021年秋季学期开始实施购买民办学位补助，对在我区义务教育阶段民办学校就读的区</w:t>
      </w:r>
      <w:r>
        <w:rPr>
          <w:rFonts w:hint="eastAsia" w:ascii="仿宋_GB2312" w:hAnsi="仿宋_GB2312" w:eastAsia="仿宋_GB2312" w:cs="仿宋_GB2312"/>
          <w:b w:val="0"/>
          <w:bCs w:val="0"/>
          <w:color w:val="auto"/>
          <w:sz w:val="32"/>
          <w:szCs w:val="32"/>
          <w:highlight w:val="none"/>
          <w:lang w:val="en-US" w:eastAsia="zh-CN"/>
        </w:rPr>
        <w:t>外</w:t>
      </w:r>
      <w:r>
        <w:rPr>
          <w:rFonts w:hint="eastAsia" w:ascii="仿宋_GB2312" w:hAnsi="仿宋_GB2312" w:eastAsia="仿宋_GB2312" w:cs="仿宋_GB2312"/>
          <w:b w:val="0"/>
          <w:bCs w:val="0"/>
          <w:color w:val="auto"/>
          <w:sz w:val="32"/>
          <w:szCs w:val="32"/>
          <w:highlight w:val="none"/>
        </w:rPr>
        <w:t>户籍学生</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父母（其中一方或其他合法监护人）具有大亚湾</w:t>
      </w:r>
      <w:r>
        <w:rPr>
          <w:rFonts w:hint="eastAsia" w:ascii="仿宋_GB2312" w:hAnsi="仿宋_GB2312" w:eastAsia="仿宋_GB2312" w:cs="仿宋_GB2312"/>
          <w:b w:val="0"/>
          <w:bCs w:val="0"/>
          <w:color w:val="auto"/>
          <w:sz w:val="32"/>
          <w:szCs w:val="32"/>
          <w:highlight w:val="none"/>
          <w:lang w:val="en-US" w:eastAsia="zh-CN"/>
        </w:rPr>
        <w:t>有效</w:t>
      </w:r>
      <w:r>
        <w:rPr>
          <w:rFonts w:hint="eastAsia" w:ascii="仿宋_GB2312" w:hAnsi="仿宋_GB2312" w:eastAsia="仿宋_GB2312" w:cs="仿宋_GB2312"/>
          <w:b w:val="0"/>
          <w:bCs w:val="0"/>
          <w:color w:val="auto"/>
          <w:sz w:val="32"/>
          <w:szCs w:val="32"/>
          <w:highlight w:val="none"/>
        </w:rPr>
        <w:t>居住证，并在大亚湾区缴交社保半年以上的</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发放1000元/学期的购买学位补助。全区符合条件的随迁子女在公办学校和政府购买</w:t>
      </w:r>
      <w:r>
        <w:rPr>
          <w:rFonts w:hint="eastAsia" w:ascii="仿宋_GB2312" w:hAnsi="仿宋_GB2312" w:eastAsia="仿宋_GB2312" w:cs="仿宋_GB2312"/>
          <w:b w:val="0"/>
          <w:bCs w:val="0"/>
          <w:color w:val="auto"/>
          <w:sz w:val="32"/>
          <w:szCs w:val="32"/>
          <w:highlight w:val="none"/>
          <w:lang w:val="en-US" w:eastAsia="zh-CN"/>
        </w:rPr>
        <w:t>学位</w:t>
      </w:r>
      <w:r>
        <w:rPr>
          <w:rFonts w:hint="eastAsia" w:ascii="仿宋_GB2312" w:hAnsi="仿宋_GB2312" w:eastAsia="仿宋_GB2312" w:cs="仿宋_GB2312"/>
          <w:b w:val="0"/>
          <w:bCs w:val="0"/>
          <w:color w:val="auto"/>
          <w:sz w:val="32"/>
          <w:szCs w:val="32"/>
          <w:highlight w:val="none"/>
        </w:rPr>
        <w:t>的民办学校就读的比例达100%。自评结论：达标。</w:t>
      </w:r>
    </w:p>
    <w:p w14:paraId="1AA35C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Autospacing="0" w:afterAutospacing="0" w:line="560" w:lineRule="exact"/>
        <w:ind w:left="0" w:leftChars="0" w:right="0" w:firstLine="640"/>
        <w:jc w:val="left"/>
        <w:textAlignment w:val="baseline"/>
        <w:rPr>
          <w:rFonts w:hint="eastAsia"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（三）教育质量9项指标自评情况</w:t>
      </w:r>
    </w:p>
    <w:p w14:paraId="4274BAFF">
      <w:pPr>
        <w:keepNext w:val="0"/>
        <w:keepLines w:val="0"/>
        <w:pageBreakBefore w:val="0"/>
        <w:widowControl/>
        <w:numPr>
          <w:ilvl w:val="0"/>
          <w:numId w:val="0"/>
        </w:numPr>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bidi="ar-SA"/>
        </w:rPr>
        <w:t>23.</w:t>
      </w:r>
      <w:r>
        <w:rPr>
          <w:rFonts w:hint="eastAsia" w:ascii="仿宋_GB2312" w:hAnsi="仿宋_GB2312" w:eastAsia="仿宋_GB2312" w:cs="仿宋_GB2312"/>
          <w:b w:val="0"/>
          <w:bCs w:val="0"/>
          <w:color w:val="auto"/>
          <w:sz w:val="32"/>
          <w:szCs w:val="32"/>
          <w:highlight w:val="none"/>
        </w:rPr>
        <w:t>全区初中三年巩固率为100%。自评结论：达标。</w:t>
      </w:r>
    </w:p>
    <w:p w14:paraId="36A0AE6C">
      <w:pPr>
        <w:keepNext w:val="0"/>
        <w:keepLines w:val="0"/>
        <w:pageBreakBefore w:val="0"/>
        <w:widowControl/>
        <w:numPr>
          <w:ilvl w:val="0"/>
          <w:numId w:val="0"/>
        </w:numPr>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bidi="ar-SA"/>
        </w:rPr>
        <w:t>24.</w:t>
      </w:r>
      <w:r>
        <w:rPr>
          <w:rFonts w:hint="eastAsia" w:ascii="仿宋_GB2312" w:hAnsi="仿宋_GB2312" w:eastAsia="仿宋_GB2312" w:cs="仿宋_GB2312"/>
          <w:b w:val="0"/>
          <w:bCs w:val="0"/>
          <w:color w:val="auto"/>
          <w:sz w:val="32"/>
          <w:szCs w:val="32"/>
          <w:highlight w:val="none"/>
        </w:rPr>
        <w:t>“全国适龄残疾儿童少年义务教育入学情况监测系统”显示，全区残疾儿童少年为121人，入学117人，申请延缓入学4人，入学率为96.69%。自评结论：达标。</w:t>
      </w:r>
    </w:p>
    <w:p w14:paraId="39D3680C">
      <w:pPr>
        <w:keepNext w:val="0"/>
        <w:keepLines w:val="0"/>
        <w:pageBreakBefore w:val="0"/>
        <w:widowControl/>
        <w:numPr>
          <w:ilvl w:val="0"/>
          <w:numId w:val="0"/>
        </w:numPr>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bidi="ar-SA"/>
        </w:rPr>
        <w:t>25.</w:t>
      </w:r>
      <w:r>
        <w:rPr>
          <w:rFonts w:hint="eastAsia" w:ascii="仿宋_GB2312" w:hAnsi="仿宋_GB2312" w:eastAsia="仿宋_GB2312" w:cs="仿宋_GB2312"/>
          <w:b w:val="0"/>
          <w:bCs w:val="0"/>
          <w:color w:val="auto"/>
          <w:sz w:val="32"/>
          <w:szCs w:val="32"/>
          <w:highlight w:val="none"/>
        </w:rPr>
        <w:t>全区学校均依法依规制定（修订）《学校章程》并进行备案，章程建设覆盖率100%。有效应用国家中小学智慧教育平台、惠州市智慧教育平台等，提高教育管理效能。自评结论：达标。</w:t>
      </w:r>
    </w:p>
    <w:p w14:paraId="2A3C0948">
      <w:pPr>
        <w:keepNext w:val="0"/>
        <w:keepLines w:val="0"/>
        <w:pageBreakBefore w:val="0"/>
        <w:widowControl/>
        <w:numPr>
          <w:ilvl w:val="0"/>
          <w:numId w:val="0"/>
        </w:numPr>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bidi="ar-SA"/>
        </w:rPr>
        <w:t>26.每</w:t>
      </w:r>
      <w:r>
        <w:rPr>
          <w:rFonts w:hint="eastAsia" w:ascii="仿宋_GB2312" w:hAnsi="仿宋_GB2312" w:eastAsia="仿宋_GB2312" w:cs="仿宋_GB2312"/>
          <w:b w:val="0"/>
          <w:bCs w:val="0"/>
          <w:color w:val="auto"/>
          <w:sz w:val="32"/>
          <w:szCs w:val="32"/>
          <w:highlight w:val="none"/>
        </w:rPr>
        <w:t>年全区</w:t>
      </w:r>
      <w:r>
        <w:rPr>
          <w:rFonts w:hint="eastAsia" w:ascii="仿宋_GB2312" w:hAnsi="仿宋_GB2312" w:eastAsia="仿宋_GB2312" w:cs="仿宋_GB2312"/>
          <w:b w:val="0"/>
          <w:bCs w:val="0"/>
          <w:color w:val="auto"/>
          <w:sz w:val="32"/>
          <w:szCs w:val="32"/>
          <w:highlight w:val="none"/>
          <w:lang w:val="en-US" w:eastAsia="zh-CN"/>
        </w:rPr>
        <w:t>所有</w:t>
      </w:r>
      <w:r>
        <w:rPr>
          <w:rFonts w:hint="eastAsia" w:ascii="仿宋_GB2312" w:hAnsi="仿宋_GB2312" w:eastAsia="仿宋_GB2312" w:cs="仿宋_GB2312"/>
          <w:b w:val="0"/>
          <w:bCs w:val="0"/>
          <w:color w:val="auto"/>
          <w:sz w:val="32"/>
          <w:szCs w:val="32"/>
          <w:highlight w:val="none"/>
        </w:rPr>
        <w:t>学校均按照不低于学校年度公用经费预算总额的5%安排教师培训经费。自评结论：达标。</w:t>
      </w:r>
    </w:p>
    <w:p w14:paraId="77F81E70">
      <w:pPr>
        <w:keepNext w:val="0"/>
        <w:keepLines w:val="0"/>
        <w:pageBreakBefore w:val="0"/>
        <w:widowControl/>
        <w:numPr>
          <w:ilvl w:val="0"/>
          <w:numId w:val="0"/>
        </w:numPr>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bidi="ar-SA"/>
        </w:rPr>
        <w:t>27.</w:t>
      </w:r>
      <w:r>
        <w:rPr>
          <w:rFonts w:hint="eastAsia" w:ascii="仿宋_GB2312" w:hAnsi="仿宋_GB2312" w:eastAsia="仿宋_GB2312" w:cs="仿宋_GB2312"/>
          <w:b w:val="0"/>
          <w:bCs w:val="0"/>
          <w:color w:val="auto"/>
          <w:sz w:val="32"/>
          <w:szCs w:val="32"/>
          <w:highlight w:val="none"/>
        </w:rPr>
        <w:t>全区教师普遍能熟练运用信息化手段组织教学，设施设备利用率达到较高水平。自评结论：达标。</w:t>
      </w:r>
    </w:p>
    <w:p w14:paraId="38EBA2B7">
      <w:pPr>
        <w:keepNext w:val="0"/>
        <w:keepLines w:val="0"/>
        <w:pageBreakBefore w:val="0"/>
        <w:widowControl/>
        <w:numPr>
          <w:ilvl w:val="0"/>
          <w:numId w:val="0"/>
        </w:numPr>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28.</w:t>
      </w:r>
      <w:r>
        <w:rPr>
          <w:rFonts w:hint="eastAsia" w:ascii="仿宋_GB2312" w:hAnsi="仿宋_GB2312" w:eastAsia="仿宋_GB2312" w:cs="仿宋_GB2312"/>
          <w:b w:val="0"/>
          <w:bCs w:val="0"/>
          <w:color w:val="auto"/>
          <w:sz w:val="32"/>
          <w:szCs w:val="32"/>
          <w:highlight w:val="none"/>
          <w:lang w:val="en-US" w:eastAsia="zh-CN"/>
        </w:rPr>
        <w:t>全区</w:t>
      </w:r>
      <w:r>
        <w:rPr>
          <w:rFonts w:hint="eastAsia" w:ascii="仿宋_GB2312" w:hAnsi="仿宋_GB2312" w:eastAsia="仿宋_GB2312" w:cs="仿宋_GB2312"/>
          <w:b w:val="0"/>
          <w:bCs w:val="0"/>
          <w:color w:val="auto"/>
          <w:sz w:val="32"/>
          <w:szCs w:val="32"/>
          <w:highlight w:val="none"/>
        </w:rPr>
        <w:t>学校均已建立党组织，党的工作和党组织领导的校长负责制已全面落实</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认真贯彻落实《中小学德育工作指南》《惠州市教育局思想政治教育科2025年工作要点》等文件精神，全面深化社会主义核心价值观教育</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自评结论：达标。</w:t>
      </w:r>
    </w:p>
    <w:p w14:paraId="7565C3B9">
      <w:pPr>
        <w:keepNext w:val="0"/>
        <w:keepLines w:val="0"/>
        <w:pageBreakBefore w:val="0"/>
        <w:widowControl/>
        <w:numPr>
          <w:ilvl w:val="0"/>
          <w:numId w:val="0"/>
        </w:numPr>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bidi="ar-SA"/>
        </w:rPr>
        <w:t>29.</w:t>
      </w:r>
      <w:r>
        <w:rPr>
          <w:rFonts w:hint="eastAsia" w:ascii="仿宋_GB2312" w:hAnsi="仿宋_GB2312" w:eastAsia="仿宋_GB2312" w:cs="仿宋_GB2312"/>
          <w:b w:val="0"/>
          <w:bCs w:val="0"/>
          <w:color w:val="auto"/>
          <w:sz w:val="32"/>
          <w:szCs w:val="32"/>
          <w:highlight w:val="none"/>
        </w:rPr>
        <w:t>全区各学校全面贯彻党的教育方针，严格落实《国家义务教育课程方案和课程标准》及省、市的工作部署和要求。依据国家课程方案，坚决落实“五育并举”，规范教学秩序与教材使用，夯实教学管理基础，确保全区学校课程开齐、开足、开好。自评结论：达标。</w:t>
      </w:r>
    </w:p>
    <w:p w14:paraId="49AF3A36">
      <w:pPr>
        <w:keepNext w:val="0"/>
        <w:keepLines w:val="0"/>
        <w:pageBreakBefore w:val="0"/>
        <w:widowControl/>
        <w:numPr>
          <w:ilvl w:val="0"/>
          <w:numId w:val="0"/>
        </w:numPr>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bidi="ar-SA"/>
        </w:rPr>
        <w:t>30.全区扎实推进“双减”工作落实落细，加强机制建设，提升课堂教学质量，统筹优化作业设计，优化课后服务供给，高标准依法治理校外培训机构，有效减轻了学生过重作业负担和校外培训负担，持续推动素质教育。</w:t>
      </w:r>
      <w:r>
        <w:rPr>
          <w:rFonts w:hint="eastAsia" w:ascii="仿宋_GB2312" w:hAnsi="仿宋_GB2312" w:eastAsia="仿宋_GB2312" w:cs="仿宋_GB2312"/>
          <w:b w:val="0"/>
          <w:bCs w:val="0"/>
          <w:color w:val="auto"/>
          <w:sz w:val="32"/>
          <w:szCs w:val="32"/>
          <w:highlight w:val="none"/>
        </w:rPr>
        <w:t>自评结论：达标。</w:t>
      </w:r>
    </w:p>
    <w:p w14:paraId="553CB2B1">
      <w:pPr>
        <w:keepNext w:val="0"/>
        <w:keepLines w:val="0"/>
        <w:pageBreakBefore w:val="0"/>
        <w:widowControl/>
        <w:shd w:val="clea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宋体" w:hAnsi="宋体" w:cs="宋体"/>
          <w:b w:val="0"/>
          <w:bCs/>
          <w:color w:val="auto"/>
          <w:kern w:val="0"/>
          <w:sz w:val="32"/>
          <w:szCs w:val="32"/>
          <w:highlight w:val="none"/>
          <w:lang w:val="en-US" w:eastAsia="zh-CN"/>
        </w:rPr>
      </w:pPr>
      <w:r>
        <w:rPr>
          <w:rFonts w:hint="eastAsia" w:ascii="黑体" w:hAnsi="黑体" w:eastAsia="黑体" w:cs="黑体"/>
          <w:b w:val="0"/>
          <w:bCs/>
          <w:color w:val="auto"/>
          <w:kern w:val="0"/>
          <w:sz w:val="32"/>
          <w:szCs w:val="32"/>
          <w:highlight w:val="none"/>
          <w:lang w:val="en-US" w:eastAsia="zh-CN"/>
        </w:rPr>
        <w:t>三、主要做法及成效</w:t>
      </w:r>
    </w:p>
    <w:p w14:paraId="1CB4E980">
      <w:pPr>
        <w:keepNext w:val="0"/>
        <w:keepLines w:val="0"/>
        <w:pageBreakBefore w:val="0"/>
        <w:widowControl/>
        <w:shd w:val="clea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推进义务教育优质均衡发展，是履行政府教育职责的必然要求，更是满足人民群众对优质教育需求的关键举措。我区立足区域实际，创新提出“加减乘除”工作法，以精准施策破解发展难题，以系统思维构建优质均衡格局，取得了显著成效。​</w:t>
      </w:r>
    </w:p>
    <w:p w14:paraId="3FC82A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Autospacing="0" w:afterAutospacing="0" w:line="560" w:lineRule="exact"/>
        <w:ind w:left="0" w:leftChars="0" w:right="0" w:firstLine="640"/>
        <w:jc w:val="left"/>
        <w:textAlignment w:val="baseline"/>
        <w:rPr>
          <w:rFonts w:hint="eastAsia"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（一）长做“加法”：厚植资源优势，夯实均衡根基</w:t>
      </w:r>
    </w:p>
    <w:p w14:paraId="20C83913">
      <w:pPr>
        <w:keepNext w:val="0"/>
        <w:keepLines w:val="0"/>
        <w:pageBreakBefore w:val="0"/>
        <w:widowControl/>
        <w:numPr>
          <w:ilvl w:val="0"/>
          <w:numId w:val="0"/>
        </w:numPr>
        <w:shd w:val="clea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学位供给“加量提质”，破解“入学</w:t>
      </w:r>
      <w:r>
        <w:rPr>
          <w:rFonts w:hint="eastAsia" w:ascii="仿宋_GB2312" w:hAnsi="仿宋_GB2312" w:eastAsia="仿宋_GB2312" w:cs="仿宋_GB2312"/>
          <w:b/>
          <w:bCs/>
          <w:color w:val="auto"/>
          <w:sz w:val="32"/>
          <w:szCs w:val="32"/>
          <w:highlight w:val="none"/>
          <w:lang w:val="en-US" w:eastAsia="zh-CN"/>
        </w:rPr>
        <w:t>困</w:t>
      </w:r>
      <w:r>
        <w:rPr>
          <w:rFonts w:hint="eastAsia" w:ascii="仿宋_GB2312" w:hAnsi="仿宋_GB2312" w:eastAsia="仿宋_GB2312" w:cs="仿宋_GB2312"/>
          <w:b/>
          <w:bCs/>
          <w:color w:val="auto"/>
          <w:sz w:val="32"/>
          <w:szCs w:val="32"/>
          <w:highlight w:val="none"/>
        </w:rPr>
        <w:t>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color w:val="auto"/>
          <w:sz w:val="32"/>
          <w:szCs w:val="32"/>
          <w:highlight w:val="none"/>
          <w:lang w:val="en-US" w:eastAsia="zh-CN"/>
        </w:rPr>
        <w:t>科学规划布局。建立“人口监测-需求预测-规划落地”闭环机制，通过常态化监测区内人口出生、流动数据，精准预判学位需求。2020年以来，先后制定《大亚湾开发区2021-2023年政府投资项目三年滚动计划》等3个专项计划，确保学校建设与人口增长同步推进。2021年至今，通过新建、扩建学校20所，累计新增优质公办义务教育学位26310个，同时，推动北京师范大学大亚湾实验学校转设为公办大亚湾京师实验学校，新增学位数量与增长幅度均居全市首位。2025年9月，西区第十小学、澳头一小第一分校如期开学，提供小学学位2430个，有效缓解了西区、澳头等人口密集区域的学位压力。</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color w:val="auto"/>
          <w:sz w:val="32"/>
          <w:szCs w:val="32"/>
          <w:highlight w:val="none"/>
          <w:lang w:val="en-US" w:eastAsia="zh-CN"/>
        </w:rPr>
        <w:t>保障特殊群体。为让特殊儿童共享优质教育，2024年7月我区与惠阳区签署《特殊教育学校合作办学框架协议》，共建共享特殊教育资源；在澳头一小、西区第三实验学校分别开设1个特殊教育班级，配备专业特教教师6名；同时要求所有学校接收特殊儿童随班就读，对无法到校的重度残疾儿童提供“一人一案”送教上门服务，确保其平等享受义务教育权利。​</w:t>
      </w:r>
    </w:p>
    <w:p w14:paraId="269C76C2">
      <w:pPr>
        <w:keepNext w:val="0"/>
        <w:keepLines w:val="0"/>
        <w:pageBreakBefore w:val="0"/>
        <w:widowControl/>
        <w:shd w:val="clea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教育投入“加码倾斜”，筑牢发展基石</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color w:val="auto"/>
          <w:sz w:val="32"/>
          <w:szCs w:val="32"/>
          <w:highlight w:val="none"/>
          <w:lang w:val="en-US" w:eastAsia="zh-CN"/>
        </w:rPr>
        <w:t>加大财政投入。始终将义务教育投入纳入政府年度财政预算优先保障，严格执行“两个只增不减”要求。2021-2024年，每年一般公共预算教育经费投入从8.8014亿元增长至12.7947亿元，年均增长13.28%，一般公共预算教育经费占辖区一般公共预算总支出的比例保持在10%以上，为教育发展提供稳定资金支持。</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color w:val="auto"/>
          <w:sz w:val="32"/>
          <w:szCs w:val="32"/>
          <w:highlight w:val="none"/>
          <w:lang w:val="en-US" w:eastAsia="zh-CN"/>
        </w:rPr>
        <w:t>优化经费投向。将教育经费重点用于学校扩容、设备更新、信息化建设三大领域。推进“标准化校园”建设，实现所有学校校舍安全达标、教学仪器配备齐全，让每一所学校都共享优质数字教育资源。</w:t>
      </w:r>
      <w:r>
        <w:rPr>
          <w:rFonts w:hint="eastAsia" w:ascii="仿宋_GB2312" w:hAnsi="仿宋_GB2312" w:eastAsia="仿宋_GB2312" w:cs="仿宋_GB2312"/>
          <w:b/>
          <w:bCs/>
          <w:color w:val="auto"/>
          <w:sz w:val="32"/>
          <w:szCs w:val="32"/>
          <w:highlight w:val="none"/>
          <w:lang w:val="en-US" w:eastAsia="zh-CN"/>
        </w:rPr>
        <w:t>三是</w:t>
      </w:r>
      <w:r>
        <w:rPr>
          <w:rFonts w:hint="eastAsia" w:ascii="仿宋_GB2312" w:hAnsi="仿宋_GB2312" w:eastAsia="仿宋_GB2312" w:cs="仿宋_GB2312"/>
          <w:color w:val="auto"/>
          <w:sz w:val="32"/>
          <w:szCs w:val="32"/>
          <w:highlight w:val="none"/>
          <w:lang w:val="en-US" w:eastAsia="zh-CN"/>
        </w:rPr>
        <w:t>强化经费监管。建立“预算编制-执行监控-审计监督-社会公开”全过程监管机制，运用大数据平台对教育经费使用情况进行实时监测，每年开展教育经费专项审计，定期向社会公开经费收支情况，接受家长与社会监督。严格执行收支“两条线”制度，严查教育乱收费行为，2021年以来未发生一起教育经费被挤占、挪用案件，经费使用透明度与效益持续提升。​</w:t>
      </w:r>
    </w:p>
    <w:p w14:paraId="68C95295">
      <w:pPr>
        <w:keepNext w:val="0"/>
        <w:keepLines w:val="0"/>
        <w:pageBreakBefore w:val="0"/>
        <w:widowControl/>
        <w:shd w:val="clea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u w:val="none"/>
          <w:shd w:val="clear"/>
          <w:lang w:val="en-US" w:eastAsia="zh-CN"/>
        </w:rPr>
        <w:t>3.</w:t>
      </w:r>
      <w:r>
        <w:rPr>
          <w:rFonts w:hint="eastAsia" w:ascii="仿宋_GB2312" w:hAnsi="仿宋_GB2312" w:eastAsia="仿宋_GB2312" w:cs="仿宋_GB2312"/>
          <w:b/>
          <w:bCs/>
          <w:color w:val="auto"/>
          <w:sz w:val="32"/>
          <w:szCs w:val="32"/>
          <w:highlight w:val="none"/>
          <w:u w:val="none"/>
          <w:shd w:val="clear"/>
        </w:rPr>
        <w:t>师资队伍“加力培育”，破解“师资</w:t>
      </w:r>
      <w:r>
        <w:rPr>
          <w:rFonts w:hint="eastAsia" w:ascii="仿宋_GB2312" w:hAnsi="仿宋_GB2312" w:eastAsia="仿宋_GB2312" w:cs="仿宋_GB2312"/>
          <w:b/>
          <w:bCs/>
          <w:color w:val="auto"/>
          <w:sz w:val="32"/>
          <w:szCs w:val="32"/>
          <w:highlight w:val="none"/>
          <w:u w:val="none"/>
          <w:shd w:val="clear"/>
          <w:lang w:val="en-US" w:eastAsia="zh-CN"/>
        </w:rPr>
        <w:t>短</w:t>
      </w:r>
      <w:r>
        <w:rPr>
          <w:rFonts w:hint="eastAsia" w:ascii="仿宋_GB2312" w:hAnsi="仿宋_GB2312" w:eastAsia="仿宋_GB2312" w:cs="仿宋_GB2312"/>
          <w:b/>
          <w:bCs/>
          <w:color w:val="auto"/>
          <w:sz w:val="32"/>
          <w:szCs w:val="32"/>
          <w:highlight w:val="none"/>
          <w:u w:val="none"/>
          <w:shd w:val="clear"/>
        </w:rPr>
        <w:t>缺”</w:t>
      </w:r>
      <w:r>
        <w:rPr>
          <w:rFonts w:hint="eastAsia" w:ascii="仿宋_GB2312" w:hAnsi="仿宋_GB2312" w:eastAsia="仿宋_GB2312" w:cs="仿宋_GB2312"/>
          <w:b/>
          <w:bCs/>
          <w:color w:val="auto"/>
          <w:sz w:val="32"/>
          <w:szCs w:val="32"/>
          <w:highlight w:val="none"/>
          <w:u w:val="none"/>
          <w:shd w:val="clear"/>
          <w:lang w:eastAsia="zh-CN"/>
        </w:rPr>
        <w:t>。</w:t>
      </w:r>
      <w:r>
        <w:rPr>
          <w:rFonts w:hint="eastAsia" w:ascii="仿宋_GB2312" w:hAnsi="仿宋_GB2312" w:eastAsia="仿宋_GB2312" w:cs="仿宋_GB2312"/>
          <w:b/>
          <w:bCs/>
          <w:color w:val="auto"/>
          <w:sz w:val="32"/>
          <w:szCs w:val="32"/>
          <w:highlight w:val="none"/>
          <w:u w:val="none"/>
          <w:shd w:val="clear"/>
          <w:lang w:val="en-US" w:eastAsia="zh-CN"/>
        </w:rPr>
        <w:t>一是</w:t>
      </w:r>
      <w:r>
        <w:rPr>
          <w:rFonts w:hint="eastAsia" w:ascii="仿宋_GB2312" w:hAnsi="仿宋_GB2312" w:eastAsia="仿宋_GB2312" w:cs="仿宋_GB2312"/>
          <w:color w:val="auto"/>
          <w:sz w:val="32"/>
          <w:szCs w:val="32"/>
          <w:highlight w:val="none"/>
          <w:u w:val="none"/>
          <w:shd w:val="clear"/>
          <w:lang w:val="en-US" w:eastAsia="zh-CN"/>
        </w:rPr>
        <w:t>扩大招聘规模。建立“教师需求动态研判机制”，根据学龄人口增长与教师退休情况，精准测算年度招聘计划。2023-2024年，先后赴华中师范大学、东北师范大学等高校开展校园招聘，引进硕士研究生158名；面向社会公开招聘全日制本科以上师范类教师1005名，有效补充了师资力量，优化了教师队伍年龄与学历结构。</w:t>
      </w:r>
      <w:r>
        <w:rPr>
          <w:rFonts w:hint="eastAsia" w:ascii="仿宋_GB2312" w:hAnsi="仿宋_GB2312" w:eastAsia="仿宋_GB2312" w:cs="仿宋_GB2312"/>
          <w:b/>
          <w:bCs/>
          <w:color w:val="auto"/>
          <w:sz w:val="32"/>
          <w:szCs w:val="32"/>
          <w:highlight w:val="none"/>
          <w:u w:val="none"/>
          <w:shd w:val="clear"/>
          <w:lang w:val="en-US" w:eastAsia="zh-CN"/>
        </w:rPr>
        <w:t>二是</w:t>
      </w:r>
      <w:r>
        <w:rPr>
          <w:rFonts w:hint="eastAsia" w:ascii="仿宋_GB2312" w:hAnsi="仿宋_GB2312" w:eastAsia="仿宋_GB2312" w:cs="仿宋_GB2312"/>
          <w:color w:val="auto"/>
          <w:sz w:val="32"/>
          <w:szCs w:val="32"/>
          <w:highlight w:val="none"/>
          <w:u w:val="none"/>
          <w:shd w:val="clear"/>
          <w:lang w:val="en-US" w:eastAsia="zh-CN"/>
        </w:rPr>
        <w:t>提升专业素养。实施“新教师入职培训计划”，每年对新招聘教师开展系统化入职培训，内容涵盖师德师风、教学技能、班级管理等，帮助新教师快速适应岗位；针对紧缺人才，创新推出“年薪制”引进模式，先后引进正副校长、学科带头人等紧缺教育人才27名（含博士校长2名），通过“名师带徒”“专题讲座”等方式，带动教师队伍整体水平提升；</w:t>
      </w:r>
      <w:r>
        <w:rPr>
          <w:rFonts w:hint="eastAsia" w:ascii="仿宋_GB2312" w:hAnsi="仿宋_GB2312" w:eastAsia="仿宋_GB2312" w:cs="仿宋_GB2312"/>
          <w:color w:val="auto"/>
          <w:sz w:val="32"/>
          <w:szCs w:val="32"/>
          <w:highlight w:val="none"/>
          <w:lang w:val="en-US" w:eastAsia="zh-CN"/>
        </w:rPr>
        <w:t>成立16个“学科领军教师工作室”，吸纳300余名骨干教师参与“深度教学”实验研究，2024年共开展教研活动32场，教师在惠州市第13届基础教育教学成果奖评选中共有11项成果获奖，其中特等奖4项，占特等奖总数的20%，稳居全市榜首；在近两届的广东省基础教育教学成果奖评选中，我区均有成果获奖，其中一等奖1项，二等奖1项。</w:t>
      </w:r>
      <w:r>
        <w:rPr>
          <w:rFonts w:hint="eastAsia" w:ascii="仿宋_GB2312" w:hAnsi="仿宋_GB2312" w:eastAsia="仿宋_GB2312" w:cs="仿宋_GB2312"/>
          <w:b/>
          <w:bCs/>
          <w:color w:val="auto"/>
          <w:sz w:val="32"/>
          <w:szCs w:val="32"/>
          <w:highlight w:val="none"/>
          <w:lang w:val="en-US" w:eastAsia="zh-CN"/>
        </w:rPr>
        <w:t>三是</w:t>
      </w:r>
      <w:r>
        <w:rPr>
          <w:rFonts w:hint="eastAsia" w:ascii="仿宋_GB2312" w:hAnsi="仿宋_GB2312" w:eastAsia="仿宋_GB2312" w:cs="仿宋_GB2312"/>
          <w:color w:val="auto"/>
          <w:sz w:val="32"/>
          <w:szCs w:val="32"/>
          <w:highlight w:val="none"/>
          <w:lang w:val="en-US" w:eastAsia="zh-CN"/>
        </w:rPr>
        <w:t>均衡配置师资。</w:t>
      </w:r>
      <w:r>
        <w:rPr>
          <w:rFonts w:hint="eastAsia" w:ascii="仿宋_GB2312" w:hAnsi="仿宋_GB2312" w:eastAsia="仿宋_GB2312" w:cs="仿宋_GB2312"/>
          <w:color w:val="auto"/>
          <w:sz w:val="32"/>
          <w:szCs w:val="32"/>
          <w:highlight w:val="none"/>
          <w:shd w:val="clear"/>
          <w:lang w:val="en-US" w:eastAsia="zh-CN"/>
        </w:rPr>
        <w:t>建立“区管校聘”常态化机制，明确在同一学校工作满6年的教师必须参与轮岗交流，且骨干教师占比不低于20%，</w:t>
      </w:r>
      <w:r>
        <w:rPr>
          <w:rFonts w:hint="eastAsia" w:ascii="仿宋_GB2312" w:hAnsi="仿宋_GB2312" w:eastAsia="仿宋_GB2312" w:cs="仿宋_GB2312"/>
          <w:color w:val="auto"/>
          <w:sz w:val="32"/>
          <w:szCs w:val="32"/>
          <w:highlight w:val="none"/>
          <w:lang w:val="en-US" w:eastAsia="zh-CN"/>
        </w:rPr>
        <w:t>推动优质师资向薄弱学校、农村学校流动，有效缩小了校际师资差距。</w:t>
      </w:r>
    </w:p>
    <w:p w14:paraId="29907AEF">
      <w:pPr>
        <w:keepNext w:val="0"/>
        <w:keepLines w:val="0"/>
        <w:pageBreakBefore w:val="0"/>
        <w:widowControl/>
        <w:shd w:val="clea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教师待遇“加</w:t>
      </w:r>
      <w:r>
        <w:rPr>
          <w:rFonts w:hint="eastAsia" w:ascii="仿宋_GB2312" w:hAnsi="仿宋_GB2312" w:eastAsia="仿宋_GB2312" w:cs="仿宋_GB2312"/>
          <w:b/>
          <w:bCs/>
          <w:color w:val="auto"/>
          <w:sz w:val="32"/>
          <w:szCs w:val="32"/>
          <w:highlight w:val="none"/>
          <w:lang w:eastAsia="zh-CN"/>
        </w:rPr>
        <w:t>大</w:t>
      </w:r>
      <w:r>
        <w:rPr>
          <w:rFonts w:hint="eastAsia" w:ascii="仿宋_GB2312" w:hAnsi="仿宋_GB2312" w:eastAsia="仿宋_GB2312" w:cs="仿宋_GB2312"/>
          <w:b/>
          <w:bCs/>
          <w:color w:val="auto"/>
          <w:sz w:val="32"/>
          <w:szCs w:val="32"/>
          <w:highlight w:val="none"/>
        </w:rPr>
        <w:t>保障”，增强职业吸引力</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color w:val="auto"/>
          <w:sz w:val="32"/>
          <w:szCs w:val="32"/>
          <w:highlight w:val="none"/>
          <w:lang w:val="en-US" w:eastAsia="zh-CN"/>
        </w:rPr>
        <w:t>提高工资收入。严格落实“义务教育教师平均工资收入水平不低于当地公务员平均工资收入水平”要求，建立教师工资与公务员工资同步调整机制。设立班主任津贴500元/人/月，对引进的博士人才给予3000元/人/月的岗位津贴，切实提高教师收入水平。</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color w:val="auto"/>
          <w:sz w:val="32"/>
          <w:szCs w:val="32"/>
          <w:highlight w:val="none"/>
          <w:lang w:val="en-US" w:eastAsia="zh-CN"/>
        </w:rPr>
        <w:t>完善福利保障。为教师足额缴纳养老保险、医疗保险、住房公积金等“五险一金”及职业年金，每年组织全体教师免费健康体检，建立教师健康档案。</w:t>
      </w:r>
      <w:r>
        <w:rPr>
          <w:rFonts w:hint="eastAsia" w:ascii="仿宋_GB2312" w:hAnsi="仿宋_GB2312" w:eastAsia="仿宋_GB2312" w:cs="仿宋_GB2312"/>
          <w:b/>
          <w:bCs/>
          <w:color w:val="auto"/>
          <w:sz w:val="32"/>
          <w:szCs w:val="32"/>
          <w:highlight w:val="none"/>
          <w:lang w:val="en-US" w:eastAsia="zh-CN"/>
        </w:rPr>
        <w:t>三是</w:t>
      </w:r>
      <w:r>
        <w:rPr>
          <w:rFonts w:hint="eastAsia" w:ascii="仿宋_GB2312" w:hAnsi="仿宋_GB2312" w:eastAsia="仿宋_GB2312" w:cs="仿宋_GB2312"/>
          <w:color w:val="auto"/>
          <w:sz w:val="32"/>
          <w:szCs w:val="32"/>
          <w:highlight w:val="none"/>
          <w:lang w:val="en-US" w:eastAsia="zh-CN"/>
        </w:rPr>
        <w:t>畅通发展通道。改革教师职称评审制度，打破“论资排辈”限制，将教学业绩、师德表现、乡村任教经历作为职称评审的重要依据，为海岛学校、薄弱学校教师及青年教师提供更多晋升机会；</w:t>
      </w:r>
      <w:r>
        <w:rPr>
          <w:rFonts w:hint="eastAsia" w:ascii="仿宋_GB2312" w:hAnsi="仿宋_GB2312" w:eastAsia="仿宋_GB2312" w:cs="仿宋_GB2312"/>
          <w:color w:val="auto"/>
          <w:sz w:val="32"/>
          <w:szCs w:val="32"/>
          <w:highlight w:val="none"/>
          <w:shd w:val="clear"/>
          <w:lang w:val="en-US" w:eastAsia="zh-CN"/>
        </w:rPr>
        <w:t>每年表彰“师德模范”“优秀教师”“优秀班主任”等先进典型约200名，增强教师的职业荣誉感。</w:t>
      </w:r>
    </w:p>
    <w:p w14:paraId="113BCD82">
      <w:pPr>
        <w:keepNext w:val="0"/>
        <w:keepLines w:val="0"/>
        <w:pageBreakBefore w:val="0"/>
        <w:widowControl/>
        <w:shd w:val="clea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rPr>
        <w:t>课程改革“加深拓展”，提升教</w:t>
      </w:r>
      <w:r>
        <w:rPr>
          <w:rFonts w:hint="eastAsia" w:ascii="仿宋_GB2312" w:hAnsi="仿宋_GB2312" w:eastAsia="仿宋_GB2312" w:cs="仿宋_GB2312"/>
          <w:b/>
          <w:bCs/>
          <w:color w:val="auto"/>
          <w:sz w:val="32"/>
          <w:szCs w:val="32"/>
          <w:highlight w:val="none"/>
          <w:lang w:val="en-US" w:eastAsia="zh-CN"/>
        </w:rPr>
        <w:t>育</w:t>
      </w:r>
      <w:r>
        <w:rPr>
          <w:rFonts w:hint="eastAsia" w:ascii="仿宋_GB2312" w:hAnsi="仿宋_GB2312" w:eastAsia="仿宋_GB2312" w:cs="仿宋_GB2312"/>
          <w:b/>
          <w:bCs/>
          <w:color w:val="auto"/>
          <w:sz w:val="32"/>
          <w:szCs w:val="32"/>
          <w:highlight w:val="none"/>
        </w:rPr>
        <w:t>质量</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color w:val="auto"/>
          <w:sz w:val="32"/>
          <w:szCs w:val="32"/>
          <w:highlight w:val="none"/>
          <w:lang w:val="en-US" w:eastAsia="zh-CN"/>
        </w:rPr>
        <w:t>强化思政育人。构建“大思政课”体系，将立德树人贯穿教育教学全过程，推动思政课程与课程思政协同育人——在语文、历史、道德与法治等学科教学中融入红色文化教育，在科学、地理等学科中渗透爱国主义教育；组织学生参与“红色足迹”研学活动、社区志愿服务等实践活动，有效增强了学生的爱国情怀与社会责任感。</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color w:val="auto"/>
          <w:sz w:val="32"/>
          <w:szCs w:val="32"/>
          <w:highlight w:val="none"/>
          <w:lang w:val="en-US" w:eastAsia="zh-CN"/>
        </w:rPr>
        <w:t>加强科学教育。加强科学教师的选配与培训，严格按照课时计划开足科学课，按照课程标准上好科学课；每年举行“科技创新大赛”“机器人竞赛”等系列科技创新活动，引导学生“做中学”“玩中学”“乐中学”，在大亚湾第六中学等学校试点开设 STEAM 教育课程，促进学生创新能力与实践能力提升。</w:t>
      </w:r>
      <w:r>
        <w:rPr>
          <w:rFonts w:hint="eastAsia" w:ascii="仿宋_GB2312" w:hAnsi="仿宋_GB2312" w:eastAsia="仿宋_GB2312" w:cs="仿宋_GB2312"/>
          <w:b/>
          <w:bCs/>
          <w:color w:val="auto"/>
          <w:sz w:val="32"/>
          <w:szCs w:val="32"/>
          <w:highlight w:val="none"/>
          <w:lang w:val="en-US" w:eastAsia="zh-CN"/>
        </w:rPr>
        <w:t>三是</w:t>
      </w:r>
      <w:r>
        <w:rPr>
          <w:rFonts w:hint="eastAsia" w:ascii="仿宋_GB2312" w:hAnsi="仿宋_GB2312" w:eastAsia="仿宋_GB2312" w:cs="仿宋_GB2312"/>
          <w:color w:val="auto"/>
          <w:sz w:val="32"/>
          <w:szCs w:val="32"/>
          <w:highlight w:val="none"/>
          <w:lang w:val="en-US" w:eastAsia="zh-CN"/>
        </w:rPr>
        <w:t>重视体美教育。2025年春季学期起，全面落实“每天一节体育课”“每天在校活动时间两小时”要求；加强美育课程建设，开设音乐、美术、书法等课程，利用校园走廊、宣传橱窗开辟艺术作品展示区，每年举办书画展览、文艺汇演等活动，丰富学生精神文化生活。</w:t>
      </w:r>
      <w:r>
        <w:rPr>
          <w:rFonts w:hint="eastAsia" w:ascii="仿宋_GB2312" w:hAnsi="仿宋_GB2312" w:eastAsia="仿宋_GB2312" w:cs="仿宋_GB2312"/>
          <w:b/>
          <w:bCs/>
          <w:color w:val="auto"/>
          <w:sz w:val="32"/>
          <w:szCs w:val="32"/>
          <w:highlight w:val="none"/>
          <w:lang w:val="en-US" w:eastAsia="zh-CN"/>
        </w:rPr>
        <w:t>四是</w:t>
      </w:r>
      <w:r>
        <w:rPr>
          <w:rFonts w:hint="eastAsia" w:ascii="仿宋_GB2312" w:hAnsi="仿宋_GB2312" w:eastAsia="仿宋_GB2312" w:cs="仿宋_GB2312"/>
          <w:color w:val="auto"/>
          <w:sz w:val="32"/>
          <w:szCs w:val="32"/>
          <w:highlight w:val="none"/>
          <w:lang w:val="en-US" w:eastAsia="zh-CN"/>
        </w:rPr>
        <w:t>推进劳动教育。将劳动教育纳入义务教育课程体系，引导学校建设校园劳动实践基地，组织学生参与绿化校园、垃圾分类、手工制作等劳动实践；与企业、农场合作建立校外劳动实践基地，让学生走进工厂、农村，体验劳动乐趣，有效培养了学生的劳动意识与奋斗精神。近年来，我区教育质量持续提升，稳居全市先进行列。</w:t>
      </w:r>
    </w:p>
    <w:p w14:paraId="47B6C5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Autospacing="0" w:afterAutospacing="0" w:line="560" w:lineRule="exact"/>
        <w:ind w:left="0" w:leftChars="0" w:right="0" w:firstLine="640"/>
        <w:jc w:val="left"/>
        <w:textAlignment w:val="baseline"/>
        <w:rPr>
          <w:rFonts w:hint="eastAsia"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（二）长做“减法”：破除功利倾向，回归育人本质</w:t>
      </w:r>
    </w:p>
    <w:p w14:paraId="7DC05114">
      <w:pPr>
        <w:keepNext w:val="0"/>
        <w:keepLines w:val="0"/>
        <w:pageBreakBefore w:val="0"/>
        <w:widowControl/>
        <w:shd w:val="clea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减学生负担，促全面发展</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color w:val="auto"/>
          <w:sz w:val="32"/>
          <w:szCs w:val="32"/>
          <w:highlight w:val="none"/>
          <w:lang w:val="en-US" w:eastAsia="zh-CN"/>
        </w:rPr>
        <w:t>严控作业总量。明确小学 1-2 年级不留书面家庭作业；建立“作业设计审核制度”，严禁教师布置重复性、惩罚性作业，鼓励布置分层作业、实践作业；通过“家校联系群”定期收集家长反馈，及时调整作业内容与时长。</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color w:val="auto"/>
          <w:sz w:val="32"/>
          <w:szCs w:val="32"/>
          <w:highlight w:val="none"/>
          <w:lang w:val="en-US" w:eastAsia="zh-CN"/>
        </w:rPr>
        <w:t>规范考试评价。小学1-2年级不组织纸笔考试，其他年级每学期考试不超过1次；考试内容聚焦基础知识点，禁止超纲命题与成绩排名；采用“等级制+评语”的评价方式，从品德、学业、体质、兴趣等多方面评价学生，减少分数对学生的心理压力，让学生全面认识自我。</w:t>
      </w:r>
      <w:r>
        <w:rPr>
          <w:rFonts w:hint="eastAsia" w:ascii="仿宋_GB2312" w:hAnsi="仿宋_GB2312" w:eastAsia="仿宋_GB2312" w:cs="仿宋_GB2312"/>
          <w:b/>
          <w:bCs/>
          <w:color w:val="auto"/>
          <w:sz w:val="32"/>
          <w:szCs w:val="32"/>
          <w:highlight w:val="none"/>
          <w:lang w:val="en-US" w:eastAsia="zh-CN"/>
        </w:rPr>
        <w:t>三是</w:t>
      </w:r>
      <w:r>
        <w:rPr>
          <w:rFonts w:hint="eastAsia" w:ascii="仿宋_GB2312" w:hAnsi="仿宋_GB2312" w:eastAsia="仿宋_GB2312" w:cs="仿宋_GB2312"/>
          <w:color w:val="auto"/>
          <w:sz w:val="32"/>
          <w:szCs w:val="32"/>
          <w:highlight w:val="none"/>
          <w:lang w:val="en-US" w:eastAsia="zh-CN"/>
        </w:rPr>
        <w:t>丰富课后服务。实现课后服务全覆盖，各学校结合师资与资源优势，开设体育、艺术、劳动、科普等特色课后服务课程，满足学生多样化兴趣需求；同时引入社会公益资源，邀请专业人士开展书法、舞蹈、机器人等课程教学，有效避免了学生放学后涌入营利性培训机构。</w:t>
      </w:r>
      <w:r>
        <w:rPr>
          <w:rFonts w:hint="eastAsia" w:ascii="仿宋_GB2312" w:hAnsi="仿宋_GB2312" w:eastAsia="仿宋_GB2312" w:cs="仿宋_GB2312"/>
          <w:b/>
          <w:bCs/>
          <w:color w:val="auto"/>
          <w:sz w:val="32"/>
          <w:szCs w:val="32"/>
          <w:highlight w:val="none"/>
          <w:lang w:val="en-US" w:eastAsia="zh-CN"/>
        </w:rPr>
        <w:t>四是</w:t>
      </w:r>
      <w:r>
        <w:rPr>
          <w:rFonts w:hint="eastAsia" w:ascii="仿宋_GB2312" w:hAnsi="仿宋_GB2312" w:eastAsia="仿宋_GB2312" w:cs="仿宋_GB2312"/>
          <w:color w:val="auto"/>
          <w:sz w:val="32"/>
          <w:szCs w:val="32"/>
          <w:highlight w:val="none"/>
          <w:lang w:val="en-US" w:eastAsia="zh-CN"/>
        </w:rPr>
        <w:t>严查校外培训。深化“双减”政策落地，2021年8月以来，我区没有再审批新的面向义务教育阶段学生的学科类培训机构，我区原有审批学科类培训机构6间，截至2021年12月，完成压减6间，压减率为100%；建立“隐形变异培训”巡查机制，通过明察暗访、群众举报等方式，严查“一对一”“住家家教” 等违规培训行为，2024 年共查处违规培训案件5起，切实减轻学生校外培训负担。</w:t>
      </w:r>
    </w:p>
    <w:p w14:paraId="1846C7AD">
      <w:pPr>
        <w:keepNext w:val="0"/>
        <w:keepLines w:val="0"/>
        <w:pageBreakBefore w:val="0"/>
        <w:widowControl/>
        <w:shd w:val="clea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减教师负担，让</w:t>
      </w:r>
      <w:r>
        <w:rPr>
          <w:rFonts w:hint="eastAsia" w:ascii="仿宋_GB2312" w:hAnsi="仿宋_GB2312" w:eastAsia="仿宋_GB2312" w:cs="仿宋_GB2312"/>
          <w:b/>
          <w:bCs/>
          <w:color w:val="auto"/>
          <w:sz w:val="32"/>
          <w:szCs w:val="32"/>
          <w:highlight w:val="none"/>
          <w:lang w:eastAsia="zh-CN"/>
        </w:rPr>
        <w:t>教学</w:t>
      </w:r>
      <w:r>
        <w:rPr>
          <w:rFonts w:hint="eastAsia" w:ascii="仿宋_GB2312" w:hAnsi="仿宋_GB2312" w:eastAsia="仿宋_GB2312" w:cs="仿宋_GB2312"/>
          <w:b/>
          <w:bCs/>
          <w:color w:val="auto"/>
          <w:sz w:val="32"/>
          <w:szCs w:val="32"/>
          <w:highlight w:val="none"/>
        </w:rPr>
        <w:t>归位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color w:val="auto"/>
          <w:sz w:val="32"/>
          <w:szCs w:val="32"/>
          <w:highlight w:val="none"/>
          <w:lang w:val="en-US" w:eastAsia="zh-CN"/>
        </w:rPr>
        <w:t>清理非教学事务。制定《教师事务负面清单》，明确禁止将入社打卡、巡河巡堤、征地拆迁等与教育教学无关的任务摊派给教师；对必须参与的疫情防控等事务，由教育部门统筹协调，统一安排时间与人员，避免重复要求、多头报送。取消“唯升学率”“唯论文”的考核指标，将教师评价重点转向课堂质量、学生关爱、家校沟通等方面；精简区域内教育类评比项目，且所有评比实行“一站式”申报与审核，避免教师多头准备材料，让教师聚焦教学主业。</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color w:val="auto"/>
          <w:sz w:val="32"/>
          <w:szCs w:val="32"/>
          <w:highlight w:val="none"/>
          <w:lang w:val="en-US" w:eastAsia="zh-CN"/>
        </w:rPr>
        <w:t>缓解职业压力。推动教师弹性上下班制度，允许教师根据教学安排调整上下班时间；落实课后服务补助政策，按课时发放课后服务津贴，切实保障教师合理报酬；同时建立教师心理疏导机制，定期邀请心理专家开展心理讲座，帮助教师缓解职业压力。</w:t>
      </w:r>
    </w:p>
    <w:p w14:paraId="4B308D8F">
      <w:pPr>
        <w:keepNext w:val="0"/>
        <w:keepLines w:val="0"/>
        <w:pageBreakBefore w:val="0"/>
        <w:widowControl/>
        <w:shd w:val="clea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3.减“民办占比”，规范民办教育发展。一是</w:t>
      </w:r>
      <w:r>
        <w:rPr>
          <w:rFonts w:hint="eastAsia" w:ascii="仿宋_GB2312" w:hAnsi="仿宋_GB2312" w:eastAsia="仿宋_GB2312" w:cs="仿宋_GB2312"/>
          <w:color w:val="auto"/>
          <w:sz w:val="32"/>
          <w:szCs w:val="32"/>
          <w:highlight w:val="none"/>
          <w:lang w:eastAsia="zh-CN"/>
        </w:rPr>
        <w:t>从</w:t>
      </w:r>
      <w:r>
        <w:rPr>
          <w:rFonts w:hint="eastAsia" w:ascii="仿宋_GB2312" w:hAnsi="仿宋_GB2312" w:eastAsia="仿宋_GB2312" w:cs="仿宋_GB2312"/>
          <w:color w:val="auto"/>
          <w:sz w:val="32"/>
          <w:szCs w:val="32"/>
          <w:highlight w:val="none"/>
          <w:lang w:val="en-US" w:eastAsia="zh-CN"/>
        </w:rPr>
        <w:t>2021年7月起</w:t>
      </w:r>
      <w:r>
        <w:rPr>
          <w:rFonts w:hint="eastAsia" w:ascii="仿宋_GB2312" w:hAnsi="仿宋_GB2312" w:eastAsia="仿宋_GB2312" w:cs="仿宋_GB2312"/>
          <w:color w:val="auto"/>
          <w:sz w:val="32"/>
          <w:szCs w:val="32"/>
          <w:highlight w:val="none"/>
        </w:rPr>
        <w:t>停止审批筹建和设立新的民办义务教育阶段学校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bCs/>
          <w:color w:val="auto"/>
          <w:sz w:val="32"/>
          <w:szCs w:val="32"/>
          <w:highlight w:val="none"/>
          <w:lang w:eastAsia="zh-CN"/>
        </w:rPr>
        <w:t>二是</w:t>
      </w:r>
      <w:r>
        <w:rPr>
          <w:rFonts w:hint="eastAsia" w:ascii="仿宋_GB2312" w:hAnsi="仿宋_GB2312" w:eastAsia="仿宋_GB2312" w:cs="仿宋_GB2312"/>
          <w:color w:val="auto"/>
          <w:sz w:val="32"/>
          <w:szCs w:val="32"/>
          <w:highlight w:val="none"/>
        </w:rPr>
        <w:t>按照《广东省义务教育标准化学校标准》重新核定区内民办义务教育学校办学规模，从2022年秋季学期开始，义务教育阶段民办学校起始年级严格按照重新核定的规范进行招生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bCs/>
          <w:color w:val="auto"/>
          <w:sz w:val="32"/>
          <w:szCs w:val="32"/>
          <w:highlight w:val="none"/>
          <w:lang w:eastAsia="zh-CN"/>
        </w:rPr>
        <w:t>三是</w:t>
      </w:r>
      <w:r>
        <w:rPr>
          <w:rFonts w:hint="eastAsia" w:ascii="仿宋_GB2312" w:hAnsi="仿宋_GB2312" w:eastAsia="仿宋_GB2312" w:cs="仿宋_GB2312"/>
          <w:color w:val="auto"/>
          <w:sz w:val="32"/>
          <w:szCs w:val="32"/>
          <w:highlight w:val="none"/>
          <w:lang w:val="en-US" w:eastAsia="zh-CN"/>
        </w:rPr>
        <w:t>引导办学条件较差、生源不足的民办学校退出办学，2024年7月依法终止1所民办九年一贯制学校办学，将该校778名在校生平稳分流至周边公办学校就读；</w:t>
      </w:r>
      <w:r>
        <w:rPr>
          <w:rFonts w:hint="eastAsia" w:ascii="仿宋_GB2312" w:hAnsi="仿宋_GB2312" w:eastAsia="仿宋_GB2312" w:cs="仿宋_GB2312"/>
          <w:b/>
          <w:bCs/>
          <w:color w:val="auto"/>
          <w:sz w:val="32"/>
          <w:szCs w:val="32"/>
          <w:highlight w:val="none"/>
          <w:lang w:val="en-US" w:eastAsia="zh-CN"/>
        </w:rPr>
        <w:t>四是</w:t>
      </w:r>
      <w:r>
        <w:rPr>
          <w:rFonts w:hint="eastAsia" w:ascii="仿宋_GB2312" w:hAnsi="仿宋_GB2312" w:eastAsia="仿宋_GB2312" w:cs="仿宋_GB2312"/>
          <w:b w:val="0"/>
          <w:bCs w:val="0"/>
          <w:color w:val="auto"/>
          <w:sz w:val="32"/>
          <w:szCs w:val="32"/>
          <w:highlight w:val="none"/>
          <w:lang w:val="en-US" w:eastAsia="zh-CN"/>
        </w:rPr>
        <w:t>实施购买民办学位兜底,</w:t>
      </w:r>
      <w:r>
        <w:rPr>
          <w:rFonts w:hint="eastAsia" w:ascii="仿宋_GB2312" w:hAnsi="仿宋_GB2312" w:eastAsia="仿宋_GB2312" w:cs="仿宋_GB2312"/>
          <w:color w:val="auto"/>
          <w:sz w:val="32"/>
          <w:szCs w:val="32"/>
          <w:highlight w:val="none"/>
          <w:lang w:eastAsia="zh-CN"/>
        </w:rPr>
        <w:t>我区从2021年秋季学期开始实施购买民办学位补助，对在我区义务教育阶段民办学校就读的区</w:t>
      </w:r>
      <w:r>
        <w:rPr>
          <w:rFonts w:hint="eastAsia" w:ascii="仿宋_GB2312" w:hAnsi="仿宋_GB2312" w:eastAsia="仿宋_GB2312" w:cs="仿宋_GB2312"/>
          <w:color w:val="auto"/>
          <w:sz w:val="32"/>
          <w:szCs w:val="32"/>
          <w:highlight w:val="none"/>
          <w:lang w:val="en-US" w:eastAsia="zh-CN"/>
        </w:rPr>
        <w:t>外</w:t>
      </w:r>
      <w:r>
        <w:rPr>
          <w:rFonts w:hint="eastAsia" w:ascii="仿宋_GB2312" w:hAnsi="仿宋_GB2312" w:eastAsia="仿宋_GB2312" w:cs="仿宋_GB2312"/>
          <w:color w:val="auto"/>
          <w:sz w:val="32"/>
          <w:szCs w:val="32"/>
          <w:highlight w:val="none"/>
          <w:lang w:eastAsia="zh-CN"/>
        </w:rPr>
        <w:t>户籍学生，父母（其中一方或其他合法监护人）具有大亚湾</w:t>
      </w:r>
      <w:r>
        <w:rPr>
          <w:rFonts w:hint="eastAsia" w:ascii="仿宋_GB2312" w:hAnsi="仿宋_GB2312" w:eastAsia="仿宋_GB2312" w:cs="仿宋_GB2312"/>
          <w:color w:val="auto"/>
          <w:sz w:val="32"/>
          <w:szCs w:val="32"/>
          <w:highlight w:val="none"/>
          <w:lang w:val="en-US" w:eastAsia="zh-CN"/>
        </w:rPr>
        <w:t>有效</w:t>
      </w:r>
      <w:r>
        <w:rPr>
          <w:rFonts w:hint="eastAsia" w:ascii="仿宋_GB2312" w:hAnsi="仿宋_GB2312" w:eastAsia="仿宋_GB2312" w:cs="仿宋_GB2312"/>
          <w:color w:val="auto"/>
          <w:sz w:val="32"/>
          <w:szCs w:val="32"/>
          <w:highlight w:val="none"/>
          <w:lang w:eastAsia="zh-CN"/>
        </w:rPr>
        <w:t>居住证，并在大亚湾区缴交社保半年以上的，发放1000元/学期的购买学位补助，确保我区义务教育阶段“民办占比”控制在</w:t>
      </w:r>
      <w:r>
        <w:rPr>
          <w:rFonts w:hint="eastAsia" w:ascii="仿宋_GB2312" w:hAnsi="仿宋_GB2312" w:eastAsia="仿宋_GB2312" w:cs="仿宋_GB2312"/>
          <w:color w:val="auto"/>
          <w:sz w:val="32"/>
          <w:szCs w:val="32"/>
          <w:highlight w:val="none"/>
          <w:lang w:val="en-US" w:eastAsia="zh-CN"/>
        </w:rPr>
        <w:t>5%以内。​</w:t>
      </w:r>
    </w:p>
    <w:p w14:paraId="64971ED4">
      <w:pPr>
        <w:keepNext w:val="0"/>
        <w:keepLines w:val="0"/>
        <w:pageBreakBefore w:val="0"/>
        <w:widowControl/>
        <w:shd w:val="clea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rPr>
        <mc:AlternateContent>
          <mc:Choice Requires="wps">
            <w:drawing>
              <wp:anchor distT="0" distB="0" distL="114300" distR="114300" simplePos="0" relativeHeight="251660288" behindDoc="0" locked="0" layoutInCell="1" allowOverlap="1">
                <wp:simplePos x="0" y="0"/>
                <wp:positionH relativeFrom="column">
                  <wp:posOffset>22225</wp:posOffset>
                </wp:positionH>
                <wp:positionV relativeFrom="paragraph">
                  <wp:posOffset>7277735</wp:posOffset>
                </wp:positionV>
                <wp:extent cx="2448560" cy="113030"/>
                <wp:effectExtent l="9525" t="9525" r="18415" b="10795"/>
                <wp:wrapNone/>
                <wp:docPr id="22" name="墨迹 22"/>
                <wp:cNvGraphicFramePr/>
                <a:graphic xmlns:a="http://schemas.openxmlformats.org/drawingml/2006/main">
                  <a:graphicData uri="http://schemas.microsoft.com/office/word/2010/wordprocessingInk">
                    <mc:AlternateContent xmlns:a14="http://schemas.microsoft.com/office/drawing/2010/main">
                      <mc:Choice Requires="a14">
                        <w14:contentPart bwMode="clr" r:id="rId5">
                          <w14:nvContentPartPr>
                            <w14:cNvPr id="22" name="墨迹 22"/>
                            <w14:cNvContentPartPr/>
                          </w14:nvContentPartPr>
                          <w14:xfrm>
                            <a:off x="1029970" y="8609965"/>
                            <a:ext cx="2448560" cy="113030"/>
                          </w14:xfrm>
                        </w14:contentPart>
                      </mc:Choice>
                    </mc:AlternateContent>
                  </a:graphicData>
                </a:graphic>
              </wp:anchor>
            </w:drawing>
          </mc:Choice>
          <mc:Fallback>
            <w:pict>
              <v:shape id="_x0000_s1026" o:spid="_x0000_s1026" o:spt="75" style="position:absolute;left:0pt;margin-left:1.75pt;margin-top:573.05pt;height:8.9pt;width:192.8pt;z-index:251660288;mso-width-relative:page;mso-height-relative:page;" coordsize="21600,21600" o:gfxdata="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">
                <v:imagedata r:id="rId6" o:title=""/>
                <o:lock v:ext="edit"/>
              </v:shape>
            </w:pict>
          </mc:Fallback>
        </mc:AlternateContent>
      </w: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减家长负担，疏</w:t>
      </w:r>
      <w:r>
        <w:rPr>
          <w:rFonts w:hint="eastAsia" w:ascii="仿宋_GB2312" w:hAnsi="仿宋_GB2312" w:eastAsia="仿宋_GB2312" w:cs="仿宋_GB2312"/>
          <w:b/>
          <w:bCs/>
          <w:color w:val="auto"/>
          <w:sz w:val="32"/>
          <w:szCs w:val="32"/>
          <w:highlight w:val="none"/>
          <w:lang w:val="en-US" w:eastAsia="zh-CN"/>
        </w:rPr>
        <w:t>缓</w:t>
      </w:r>
      <w:r>
        <w:rPr>
          <w:rFonts w:hint="eastAsia" w:ascii="仿宋_GB2312" w:hAnsi="仿宋_GB2312" w:eastAsia="仿宋_GB2312" w:cs="仿宋_GB2312"/>
          <w:b/>
          <w:bCs/>
          <w:color w:val="auto"/>
          <w:sz w:val="32"/>
          <w:szCs w:val="32"/>
          <w:highlight w:val="none"/>
        </w:rPr>
        <w:t>焦虑情绪</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color w:val="auto"/>
          <w:sz w:val="32"/>
          <w:szCs w:val="32"/>
          <w:highlight w:val="none"/>
          <w:lang w:val="en-US" w:eastAsia="zh-CN"/>
        </w:rPr>
        <w:t>降低教育支出。加快薄弱学校改造，缩小校际差距；推动小学3-6年级教辅免费供应、坚持“一科一辅”原则，严禁学校或教师推荐营利性教辅材料、课外培训；规范校服、餐费等收费行为，实行“阳光收费”，定期公开收费标准与收支情况；对家庭经济困难学生落实资助全覆盖，避免因经济压力影响学生入学。</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color w:val="auto"/>
          <w:sz w:val="32"/>
          <w:szCs w:val="32"/>
          <w:highlight w:val="none"/>
          <w:lang w:val="en-US" w:eastAsia="zh-CN"/>
        </w:rPr>
        <w:t>厘清家校责任。制定《家校责任清单》，明确家长主要职责是“陪伴成长、习惯培养”，禁止学校将批改作业、制作教具等任务转嫁给家长；通过家长学校开展家庭教育培训，引导家长树立科学育儿观念，避免过度参与学生学业。</w:t>
      </w:r>
      <w:r>
        <w:rPr>
          <w:rFonts w:hint="eastAsia" w:ascii="仿宋_GB2312" w:hAnsi="仿宋_GB2312" w:eastAsia="仿宋_GB2312" w:cs="仿宋_GB2312"/>
          <w:b/>
          <w:bCs/>
          <w:color w:val="auto"/>
          <w:sz w:val="32"/>
          <w:szCs w:val="32"/>
          <w:highlight w:val="none"/>
          <w:lang w:val="en-US" w:eastAsia="zh-CN"/>
        </w:rPr>
        <w:t>三是</w:t>
      </w:r>
      <w:r>
        <w:rPr>
          <w:rFonts w:hint="eastAsia" w:ascii="仿宋_GB2312" w:hAnsi="仿宋_GB2312" w:eastAsia="仿宋_GB2312" w:cs="仿宋_GB2312"/>
          <w:color w:val="auto"/>
          <w:sz w:val="32"/>
          <w:szCs w:val="32"/>
          <w:highlight w:val="none"/>
          <w:lang w:val="en-US" w:eastAsia="zh-CN"/>
        </w:rPr>
        <w:t>畅通沟通渠道。建立“教师定期家访+线上沟通”机制，要求教师每学期落实“四必访”（特殊群体学生必访；学业波动幅度超20% 学生必访；家庭发生重大变故学生必访；家长有强烈沟通需求学生必访），同时规范微信群使用，禁止刷屏布置任务，减少家长“随时待命”的精力消耗。</w:t>
      </w:r>
      <w:r>
        <w:rPr>
          <w:rFonts w:hint="eastAsia" w:ascii="仿宋_GB2312" w:hAnsi="仿宋_GB2312" w:eastAsia="仿宋_GB2312" w:cs="仿宋_GB2312"/>
          <w:b/>
          <w:bCs/>
          <w:color w:val="auto"/>
          <w:sz w:val="32"/>
          <w:szCs w:val="32"/>
          <w:highlight w:val="none"/>
          <w:lang w:val="en-US" w:eastAsia="zh-CN"/>
        </w:rPr>
        <w:t>四是</w:t>
      </w:r>
      <w:r>
        <w:rPr>
          <w:rFonts w:hint="eastAsia" w:ascii="仿宋_GB2312" w:hAnsi="仿宋_GB2312" w:eastAsia="仿宋_GB2312" w:cs="仿宋_GB2312"/>
          <w:color w:val="auto"/>
          <w:sz w:val="32"/>
          <w:szCs w:val="32"/>
          <w:highlight w:val="none"/>
          <w:lang w:val="en-US" w:eastAsia="zh-CN"/>
        </w:rPr>
        <w:t>稳定教育预期。推进招生制度透明化，严格落实“公民同招”“阳光招生”，坚决查处“掐尖招生” 违规行为；通过新建高中（大亚湾第十三中学）、扩建优质高中（大亚湾第一中学）等措施，2025年初中毕业生普高上线率73.87%，让普通初中学生获得更公平的升学机会。加强教育政策宣传，通过家长会等途径，引导家长理性看待成绩与成长的关系。</w:t>
      </w:r>
    </w:p>
    <w:p w14:paraId="72EBE5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Autospacing="0" w:afterAutospacing="0" w:line="560" w:lineRule="exact"/>
        <w:ind w:left="0" w:leftChars="0" w:right="0" w:firstLine="640"/>
        <w:jc w:val="left"/>
        <w:textAlignment w:val="baseline"/>
        <w:rPr>
          <w:rFonts w:hint="eastAsia"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（三）长做“乘法”：激活各方潜能，放大协同效应</w:t>
      </w:r>
    </w:p>
    <w:p w14:paraId="63B41BEA">
      <w:pPr>
        <w:keepNext w:val="0"/>
        <w:keepLines w:val="0"/>
        <w:pageBreakBefore w:val="0"/>
        <w:widowControl/>
        <w:shd w:val="clea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党建引领凝心聚力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加强区党工委对全区义务教育优质均衡发展的统筹领导，成立以区党工委书记、管委会主任为组长，分管教育的区党工委班子成员为副组长，区直相关部门主要负责人为成员的大亚湾区义务教育优质均衡发展领导小组。完善区党工委议教制度，2021年以来，区党工委、管委会每年研教议教不少于4次，先后审议通过《大亚湾义务教育学校建设三年规划（2021-2023）》《大亚湾教育高质量发展行动计划（2025-2027）》等重要文件，形成“教育规划优先制定、教育用地优先保障、教育经费优先安排、教育编制优先补充、教育问题优先解决”的“五优先”格局。依托区党工委“一把手”挂帅的党建引领模式，推动教育发展从“单兵作战”转向“集团冲锋”，一般公共预算教育经费投入连续四年稳步增长，2024年达12.8亿元，较2020年增长64%（2020年为7.8亿元），重点投向学校建设、师资待遇、设备更新等领域。全面落实中小学党组织领导的校长负责制，推动改革从“有形覆盖”向“有效覆盖”深化，2024 年培育基础教育党建工作示范校5所，以党建引领教育质量提升。​</w:t>
      </w:r>
    </w:p>
    <w:p w14:paraId="16F5682F">
      <w:pPr>
        <w:keepNext w:val="0"/>
        <w:keepLines w:val="0"/>
        <w:pageBreakBefore w:val="0"/>
        <w:widowControl/>
        <w:shd w:val="clea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部门</w:t>
      </w:r>
      <w:r>
        <w:rPr>
          <w:rFonts w:hint="eastAsia" w:ascii="仿宋_GB2312" w:hAnsi="仿宋_GB2312" w:eastAsia="仿宋_GB2312" w:cs="仿宋_GB2312"/>
          <w:b/>
          <w:bCs/>
          <w:color w:val="auto"/>
          <w:sz w:val="32"/>
          <w:szCs w:val="32"/>
          <w:highlight w:val="none"/>
          <w:lang w:eastAsia="zh-CN"/>
        </w:rPr>
        <w:t>推进</w:t>
      </w:r>
      <w:r>
        <w:rPr>
          <w:rFonts w:hint="eastAsia" w:ascii="仿宋_GB2312" w:hAnsi="仿宋_GB2312" w:eastAsia="仿宋_GB2312" w:cs="仿宋_GB2312"/>
          <w:b/>
          <w:bCs/>
          <w:color w:val="auto"/>
          <w:sz w:val="32"/>
          <w:szCs w:val="32"/>
          <w:highlight w:val="none"/>
        </w:rPr>
        <w:t>同心协力</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打破部门壁垒，构建“统一领导、分工协作”的工作机制。</w:t>
      </w:r>
      <w:r>
        <w:rPr>
          <w:rFonts w:hint="eastAsia" w:ascii="仿宋_GB2312" w:hAnsi="仿宋_GB2312" w:eastAsia="仿宋_GB2312" w:cs="仿宋_GB2312"/>
          <w:color w:val="auto"/>
          <w:sz w:val="32"/>
          <w:szCs w:val="32"/>
          <w:highlight w:val="none"/>
        </w:rPr>
        <w:t>发展改革部门协助编制“十</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五”“十</w:t>
      </w: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五”教育事业发展规划；财政部门严格落实“三个只增不减”（财政一般公共预算教育支出逐年只增不减、按在校学生人数平均的</w:t>
      </w:r>
      <w:r>
        <w:rPr>
          <w:rFonts w:hint="eastAsia" w:ascii="仿宋_GB2312" w:hAnsi="仿宋_GB2312" w:eastAsia="仿宋_GB2312" w:cs="仿宋_GB2312"/>
          <w:color w:val="auto"/>
          <w:sz w:val="32"/>
        </w:rPr>
        <mc:AlternateContent>
          <mc:Choice Requires="wps">
            <w:drawing>
              <wp:anchor distT="0" distB="0" distL="114300" distR="114300" simplePos="0" relativeHeight="251661312" behindDoc="0" locked="0" layoutInCell="1" allowOverlap="1">
                <wp:simplePos x="0" y="0"/>
                <wp:positionH relativeFrom="column">
                  <wp:posOffset>4705350</wp:posOffset>
                </wp:positionH>
                <wp:positionV relativeFrom="paragraph">
                  <wp:posOffset>2715260</wp:posOffset>
                </wp:positionV>
                <wp:extent cx="635" cy="635"/>
                <wp:effectExtent l="0" t="0" r="0" b="0"/>
                <wp:wrapNone/>
                <wp:docPr id="28" name="墨迹 28"/>
                <wp:cNvGraphicFramePr/>
                <a:graphic xmlns:a="http://schemas.openxmlformats.org/drawingml/2006/main">
                  <a:graphicData uri="http://schemas.microsoft.com/office/word/2010/wordprocessingInk">
                    <mc:AlternateContent xmlns:a14="http://schemas.microsoft.com/office/drawing/2010/main">
                      <mc:Choice Requires="a14">
                        <w14:contentPart bwMode="clr" r:id="rId7">
                          <w14:nvContentPartPr>
                            <w14:cNvPr id="28" name="墨迹 28"/>
                            <w14:cNvContentPartPr/>
                          </w14:nvContentPartPr>
                          <w14:xfrm>
                            <a:off x="5713095" y="4047490"/>
                            <a:ext cx="635" cy="635"/>
                          </w14:xfrm>
                        </w14:contentPart>
                      </mc:Choice>
                    </mc:AlternateContent>
                  </a:graphicData>
                </a:graphic>
              </wp:anchor>
            </w:drawing>
          </mc:Choice>
          <mc:Fallback>
            <w:pict>
              <v:shape id="_x0000_s1026" o:spid="_x0000_s1026" o:spt="75" style="position:absolute;left:0pt;margin-left:370.5pt;margin-top:213.8pt;height:0.05pt;width:0.05pt;z-index:251661312;mso-width-relative:page;mso-height-relative:page;" coordsize="21600,21600" o:gfxdata="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">
                <v:imagedata r:id="rId8" o:title=""/>
                <o:lock v:ext="edit"/>
              </v:shape>
            </w:pict>
          </mc:Fallback>
        </mc:AlternateContent>
      </w:r>
      <w:r>
        <w:rPr>
          <w:rFonts w:hint="eastAsia" w:ascii="仿宋_GB2312" w:hAnsi="仿宋_GB2312" w:eastAsia="仿宋_GB2312" w:cs="仿宋_GB2312"/>
          <w:color w:val="auto"/>
          <w:sz w:val="32"/>
          <w:szCs w:val="32"/>
          <w:highlight w:val="none"/>
        </w:rPr>
        <w:t>一般公共预算教育支出逐年只增不减、教师平均工资收入不低于当地公务员）；</w:t>
      </w:r>
      <w:r>
        <w:rPr>
          <w:rFonts w:hint="eastAsia" w:ascii="仿宋_GB2312" w:hAnsi="仿宋_GB2312" w:eastAsia="仿宋_GB2312" w:cs="仿宋_GB2312"/>
          <w:color w:val="auto"/>
          <w:sz w:val="32"/>
          <w:szCs w:val="32"/>
          <w:highlight w:val="none"/>
          <w:shd w:val="clear"/>
        </w:rPr>
        <w:t>人社部门</w:t>
      </w:r>
      <w:r>
        <w:rPr>
          <w:rFonts w:hint="eastAsia" w:ascii="仿宋_GB2312" w:hAnsi="仿宋_GB2312" w:eastAsia="仿宋_GB2312" w:cs="仿宋_GB2312"/>
          <w:color w:val="auto"/>
          <w:sz w:val="32"/>
          <w:szCs w:val="32"/>
          <w:highlight w:val="none"/>
          <w:shd w:val="clear"/>
          <w:lang w:val="en-US" w:eastAsia="zh-CN"/>
        </w:rPr>
        <w:t>共同推进</w:t>
      </w:r>
      <w:r>
        <w:rPr>
          <w:rFonts w:hint="eastAsia" w:ascii="仿宋_GB2312" w:hAnsi="仿宋_GB2312" w:eastAsia="仿宋_GB2312" w:cs="仿宋_GB2312"/>
          <w:color w:val="auto"/>
          <w:sz w:val="32"/>
          <w:szCs w:val="32"/>
          <w:highlight w:val="none"/>
          <w:shd w:val="clear"/>
        </w:rPr>
        <w:t>教师招聘“绿色通道”</w:t>
      </w:r>
      <w:r>
        <w:rPr>
          <w:rFonts w:hint="eastAsia" w:ascii="仿宋_GB2312" w:hAnsi="仿宋_GB2312" w:eastAsia="仿宋_GB2312" w:cs="仿宋_GB2312"/>
          <w:color w:val="auto"/>
          <w:sz w:val="32"/>
          <w:szCs w:val="32"/>
          <w:highlight w:val="none"/>
          <w:shd w:val="clear"/>
          <w:lang w:eastAsia="zh-CN"/>
        </w:rPr>
        <w:t>“</w:t>
      </w:r>
      <w:r>
        <w:rPr>
          <w:rFonts w:hint="eastAsia" w:ascii="仿宋_GB2312" w:hAnsi="仿宋_GB2312" w:eastAsia="仿宋_GB2312" w:cs="仿宋_GB2312"/>
          <w:color w:val="auto"/>
          <w:sz w:val="32"/>
          <w:szCs w:val="32"/>
          <w:highlight w:val="none"/>
          <w:shd w:val="clear"/>
        </w:rPr>
        <w:t>职称评定</w:t>
      </w:r>
      <w:r>
        <w:rPr>
          <w:rFonts w:hint="eastAsia" w:ascii="仿宋_GB2312" w:hAnsi="仿宋_GB2312" w:eastAsia="仿宋_GB2312" w:cs="仿宋_GB2312"/>
          <w:color w:val="auto"/>
          <w:sz w:val="32"/>
          <w:szCs w:val="32"/>
          <w:highlight w:val="none"/>
          <w:shd w:val="clear"/>
          <w:lang w:eastAsia="zh-CN"/>
        </w:rPr>
        <w:t>”</w:t>
      </w:r>
      <w:r>
        <w:rPr>
          <w:rFonts w:hint="eastAsia" w:ascii="仿宋_GB2312" w:hAnsi="仿宋_GB2312" w:eastAsia="仿宋_GB2312" w:cs="仿宋_GB2312"/>
          <w:color w:val="auto"/>
          <w:sz w:val="32"/>
          <w:szCs w:val="32"/>
          <w:highlight w:val="none"/>
          <w:shd w:val="clear"/>
        </w:rPr>
        <w:t>倾斜政策，</w:t>
      </w:r>
      <w:r>
        <w:rPr>
          <w:rFonts w:hint="eastAsia" w:ascii="仿宋_GB2312" w:hAnsi="仿宋_GB2312" w:eastAsia="仿宋_GB2312" w:cs="仿宋_GB2312"/>
          <w:color w:val="auto"/>
          <w:sz w:val="32"/>
          <w:szCs w:val="32"/>
          <w:highlight w:val="none"/>
          <w:shd w:val="clear"/>
          <w:lang w:val="en-US" w:eastAsia="zh-CN"/>
        </w:rPr>
        <w:t>增强</w:t>
      </w:r>
      <w:r>
        <w:rPr>
          <w:rFonts w:hint="eastAsia" w:ascii="仿宋_GB2312" w:hAnsi="仿宋_GB2312" w:eastAsia="仿宋_GB2312" w:cs="仿宋_GB2312"/>
          <w:color w:val="auto"/>
          <w:sz w:val="32"/>
          <w:szCs w:val="32"/>
          <w:highlight w:val="none"/>
          <w:shd w:val="clear"/>
        </w:rPr>
        <w:t>教师队伍；编制部门</w:t>
      </w:r>
      <w:r>
        <w:rPr>
          <w:rFonts w:hint="eastAsia" w:ascii="仿宋_GB2312" w:hAnsi="仿宋_GB2312" w:eastAsia="仿宋_GB2312" w:cs="仿宋_GB2312"/>
          <w:color w:val="auto"/>
          <w:sz w:val="32"/>
          <w:szCs w:val="32"/>
          <w:highlight w:val="none"/>
        </w:rPr>
        <w:t>建立“学生变动-编制调整”动态机制，2021年来累计补充、调</w:t>
      </w:r>
      <w:r>
        <w:rPr>
          <w:rFonts w:hint="eastAsia" w:ascii="仿宋_GB2312" w:hAnsi="仿宋_GB2312" w:eastAsia="仿宋_GB2312" w:cs="仿宋_GB2312"/>
          <w:color w:val="auto"/>
          <w:sz w:val="32"/>
          <w:szCs w:val="32"/>
          <w:highlight w:val="none"/>
          <w:lang w:val="en-US" w:eastAsia="zh-CN"/>
        </w:rPr>
        <w:t>增</w:t>
      </w:r>
      <w:r>
        <w:rPr>
          <w:rFonts w:hint="eastAsia" w:ascii="仿宋_GB2312" w:hAnsi="仿宋_GB2312" w:eastAsia="仿宋_GB2312" w:cs="仿宋_GB2312"/>
          <w:color w:val="auto"/>
          <w:sz w:val="32"/>
          <w:szCs w:val="32"/>
          <w:highlight w:val="none"/>
        </w:rPr>
        <w:t>教师编制</w:t>
      </w:r>
      <w:r>
        <w:rPr>
          <w:rFonts w:hint="eastAsia" w:ascii="仿宋_GB2312" w:hAnsi="仿宋_GB2312" w:eastAsia="仿宋_GB2312" w:cs="仿宋_GB2312"/>
          <w:color w:val="auto"/>
          <w:sz w:val="32"/>
          <w:szCs w:val="32"/>
          <w:highlight w:val="none"/>
          <w:lang w:val="en-US" w:eastAsia="zh-CN"/>
        </w:rPr>
        <w:t>1684</w:t>
      </w:r>
      <w:r>
        <w:rPr>
          <w:rFonts w:hint="eastAsia" w:ascii="仿宋_GB2312" w:hAnsi="仿宋_GB2312" w:eastAsia="仿宋_GB2312" w:cs="仿宋_GB2312"/>
          <w:color w:val="auto"/>
          <w:sz w:val="32"/>
          <w:szCs w:val="32"/>
          <w:highlight w:val="none"/>
        </w:rPr>
        <w:t>个，满足新增学位教学需求；公安部门落实“一校一警”，</w:t>
      </w:r>
      <w:r>
        <w:rPr>
          <w:rFonts w:hint="eastAsia" w:ascii="仿宋_GB2312" w:hAnsi="仿宋_GB2312" w:eastAsia="仿宋_GB2312" w:cs="仿宋_GB2312"/>
          <w:color w:val="auto"/>
          <w:sz w:val="32"/>
          <w:szCs w:val="32"/>
          <w:highlight w:val="none"/>
          <w:lang w:val="en-US" w:eastAsia="zh-CN"/>
        </w:rPr>
        <w:t>每天</w:t>
      </w:r>
      <w:r>
        <w:rPr>
          <w:rFonts w:hint="eastAsia" w:ascii="仿宋_GB2312" w:hAnsi="仿宋_GB2312" w:eastAsia="仿宋_GB2312" w:cs="仿宋_GB2312"/>
          <w:color w:val="auto"/>
          <w:sz w:val="32"/>
          <w:szCs w:val="32"/>
          <w:highlight w:val="none"/>
        </w:rPr>
        <w:t>重点时段（上学、放学）调派警力</w:t>
      </w:r>
      <w:r>
        <w:rPr>
          <w:rFonts w:hint="eastAsia" w:ascii="仿宋_GB2312" w:hAnsi="仿宋_GB2312" w:eastAsia="仿宋_GB2312" w:cs="仿宋_GB2312"/>
          <w:color w:val="auto"/>
          <w:sz w:val="32"/>
          <w:szCs w:val="32"/>
          <w:highlight w:val="none"/>
          <w:lang w:val="en-US" w:eastAsia="zh-CN"/>
        </w:rPr>
        <w:t>到校</w:t>
      </w:r>
      <w:r>
        <w:rPr>
          <w:rFonts w:hint="eastAsia" w:ascii="仿宋_GB2312" w:hAnsi="仿宋_GB2312" w:eastAsia="仿宋_GB2312" w:cs="仿宋_GB2312"/>
          <w:color w:val="auto"/>
          <w:sz w:val="32"/>
          <w:szCs w:val="32"/>
          <w:highlight w:val="none"/>
        </w:rPr>
        <w:t>护学；卫生健康部门指导学校落实传染病防控措施，组织学生健康体检，建立健康档案；消防救援部门积极助力校园消防宣传教育，通过日常指导学校开展疏散演练等举措，让消防安全知识覆盖每一位师生，真正实现教育入脑入心。​</w:t>
      </w:r>
    </w:p>
    <w:p w14:paraId="05361B83">
      <w:pPr>
        <w:keepNext w:val="0"/>
        <w:keepLines w:val="0"/>
        <w:pageBreakBefore w:val="0"/>
        <w:widowControl/>
        <w:shd w:val="clea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家校社</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贴心同频</w:t>
      </w:r>
      <w:r>
        <w:rPr>
          <w:rFonts w:hint="eastAsia" w:ascii="仿宋_GB2312" w:hAnsi="仿宋_GB2312" w:eastAsia="仿宋_GB2312" w:cs="仿宋_GB2312"/>
          <w:b/>
          <w:bCs/>
          <w:color w:val="auto"/>
          <w:sz w:val="32"/>
          <w:szCs w:val="32"/>
          <w:highlight w:val="none"/>
          <w:lang w:eastAsia="zh-CN"/>
        </w:rPr>
        <w:t>合</w:t>
      </w:r>
      <w:r>
        <w:rPr>
          <w:rFonts w:hint="eastAsia" w:ascii="仿宋_GB2312" w:hAnsi="仿宋_GB2312" w:eastAsia="仿宋_GB2312" w:cs="仿宋_GB2312"/>
          <w:b/>
          <w:bCs/>
          <w:color w:val="auto"/>
          <w:sz w:val="32"/>
          <w:szCs w:val="32"/>
          <w:highlight w:val="none"/>
        </w:rPr>
        <w:t>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构建“学校主导、家庭尽责、社会参与”的协同育人体系。</w:t>
      </w: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color w:val="auto"/>
          <w:sz w:val="32"/>
          <w:szCs w:val="32"/>
          <w:highlight w:val="none"/>
        </w:rPr>
        <w:t>家校</w:t>
      </w:r>
      <w:r>
        <w:rPr>
          <w:rFonts w:hint="eastAsia" w:ascii="仿宋_GB2312" w:hAnsi="仿宋_GB2312" w:eastAsia="仿宋_GB2312" w:cs="仿宋_GB2312"/>
          <w:color w:val="auto"/>
          <w:sz w:val="32"/>
          <w:szCs w:val="32"/>
          <w:highlight w:val="none"/>
          <w:lang w:val="en-US" w:eastAsia="zh-CN"/>
        </w:rPr>
        <w:t>贴心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全区中小学均建立校级、年级、班级三级家委会，</w:t>
      </w:r>
      <w:r>
        <w:rPr>
          <w:rFonts w:hint="eastAsia" w:ascii="仿宋_GB2312" w:hAnsi="仿宋_GB2312" w:eastAsia="仿宋_GB2312" w:cs="仿宋_GB2312"/>
          <w:color w:val="auto"/>
          <w:sz w:val="32"/>
          <w:szCs w:val="32"/>
          <w:highlight w:val="none"/>
          <w:lang w:val="en-US" w:eastAsia="zh-CN"/>
        </w:rPr>
        <w:t>定期收</w:t>
      </w:r>
      <w:r>
        <w:rPr>
          <w:rFonts w:hint="eastAsia" w:ascii="仿宋_GB2312" w:hAnsi="仿宋_GB2312" w:eastAsia="仿宋_GB2312" w:cs="仿宋_GB2312"/>
          <w:color w:val="auto"/>
          <w:sz w:val="32"/>
          <w:szCs w:val="32"/>
          <w:highlight w:val="none"/>
        </w:rPr>
        <w:t>集意见</w:t>
      </w:r>
      <w:r>
        <w:rPr>
          <w:rFonts w:hint="eastAsia" w:ascii="仿宋_GB2312" w:hAnsi="仿宋_GB2312" w:eastAsia="仿宋_GB2312" w:cs="仿宋_GB2312"/>
          <w:color w:val="auto"/>
          <w:sz w:val="32"/>
          <w:szCs w:val="32"/>
          <w:highlight w:val="none"/>
          <w:lang w:val="en-US" w:eastAsia="zh-CN"/>
        </w:rPr>
        <w:t>并及时</w:t>
      </w:r>
      <w:r>
        <w:rPr>
          <w:rFonts w:hint="eastAsia" w:ascii="仿宋_GB2312" w:hAnsi="仿宋_GB2312" w:eastAsia="仿宋_GB2312" w:cs="仿宋_GB2312"/>
          <w:color w:val="auto"/>
          <w:sz w:val="32"/>
          <w:szCs w:val="32"/>
          <w:highlight w:val="none"/>
        </w:rPr>
        <w:t>整改落实；家长学校开展《</w:t>
      </w:r>
      <w:r>
        <w:rPr>
          <w:rFonts w:hint="eastAsia" w:ascii="仿宋_GB2312" w:hAnsi="仿宋_GB2312" w:eastAsia="仿宋_GB2312" w:cs="仿宋_GB2312"/>
          <w:color w:val="auto"/>
          <w:sz w:val="32"/>
          <w:szCs w:val="32"/>
          <w:highlight w:val="none"/>
          <w:lang w:eastAsia="zh-CN"/>
        </w:rPr>
        <w:t>中华人民共和国家庭教育促进法</w:t>
      </w:r>
      <w:r>
        <w:rPr>
          <w:rFonts w:hint="eastAsia" w:ascii="仿宋_GB2312" w:hAnsi="仿宋_GB2312" w:eastAsia="仿宋_GB2312" w:cs="仿宋_GB2312"/>
          <w:color w:val="auto"/>
          <w:sz w:val="32"/>
          <w:szCs w:val="32"/>
          <w:highlight w:val="none"/>
        </w:rPr>
        <w:t>》宣传、育儿知识培训等活动；组建家长护学岗，2024年参与护学家长超万人次，与护学警察、值日师生形成“三重防护”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color w:val="auto"/>
          <w:sz w:val="32"/>
          <w:szCs w:val="32"/>
          <w:highlight w:val="none"/>
        </w:rPr>
        <w:t>社会</w:t>
      </w:r>
      <w:r>
        <w:rPr>
          <w:rFonts w:hint="eastAsia" w:ascii="仿宋_GB2312" w:hAnsi="仿宋_GB2312" w:eastAsia="仿宋_GB2312" w:cs="仿宋_GB2312"/>
          <w:color w:val="auto"/>
          <w:sz w:val="32"/>
          <w:szCs w:val="32"/>
          <w:highlight w:val="none"/>
          <w:lang w:val="en-US" w:eastAsia="zh-CN"/>
        </w:rPr>
        <w:t>同频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提供体育、艺术培训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防溺水、消防、法律等志愿社团开展公益宣传；各社区与学校联合开展“端午包粽子”“</w:t>
      </w:r>
      <w:r>
        <w:rPr>
          <w:rFonts w:hint="eastAsia" w:ascii="仿宋_GB2312" w:hAnsi="仿宋_GB2312" w:eastAsia="仿宋_GB2312" w:cs="仿宋_GB2312"/>
          <w:color w:val="auto"/>
          <w:sz w:val="32"/>
          <w:szCs w:val="32"/>
          <w:highlight w:val="none"/>
          <w:lang w:val="en-US" w:eastAsia="zh-CN"/>
        </w:rPr>
        <w:t>亲子运动会</w:t>
      </w:r>
      <w:r>
        <w:rPr>
          <w:rFonts w:hint="eastAsia" w:ascii="仿宋_GB2312" w:hAnsi="仿宋_GB2312" w:eastAsia="仿宋_GB2312" w:cs="仿宋_GB2312"/>
          <w:color w:val="auto"/>
          <w:sz w:val="32"/>
          <w:szCs w:val="32"/>
          <w:highlight w:val="none"/>
        </w:rPr>
        <w:t>”节日主题活动，实现教育从“校园内”向“校园外”延伸。​</w:t>
      </w:r>
    </w:p>
    <w:p w14:paraId="3C766B87">
      <w:pPr>
        <w:keepNext w:val="0"/>
        <w:keepLines w:val="0"/>
        <w:pageBreakBefore w:val="0"/>
        <w:widowControl/>
        <w:shd w:val="clea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楷体_GB2312" w:hAnsi="楷体_GB2312" w:eastAsia="楷体_GB2312" w:cs="楷体_GB2312"/>
          <w:b w:val="0"/>
          <w:bCs w:val="0"/>
          <w:color w:val="auto"/>
          <w:kern w:val="2"/>
          <w:sz w:val="32"/>
          <w:szCs w:val="32"/>
          <w:highlight w:val="none"/>
          <w:lang w:val="en-US" w:eastAsia="zh-CN" w:bidi="ar-SA"/>
        </w:rPr>
        <w:t>（四）长做“除法”，扫清发展阻碍，释放发展活力​</w:t>
      </w:r>
    </w:p>
    <w:p w14:paraId="39B6102A">
      <w:pPr>
        <w:keepNext w:val="0"/>
        <w:keepLines w:val="0"/>
        <w:pageBreakBefore w:val="0"/>
        <w:widowControl/>
        <w:shd w:val="clea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shd w:val="clear"/>
          <w:lang w:val="en-US" w:eastAsia="zh-CN"/>
        </w:rPr>
        <w:t>1.</w:t>
      </w:r>
      <w:r>
        <w:rPr>
          <w:rFonts w:hint="eastAsia" w:ascii="仿宋_GB2312" w:hAnsi="仿宋_GB2312" w:eastAsia="仿宋_GB2312" w:cs="仿宋_GB2312"/>
          <w:b/>
          <w:bCs/>
          <w:color w:val="auto"/>
          <w:sz w:val="32"/>
          <w:szCs w:val="32"/>
          <w:highlight w:val="none"/>
          <w:shd w:val="clear"/>
        </w:rPr>
        <w:t>破除资源壁垒，消除教育供给的空间鸿沟</w:t>
      </w:r>
      <w:r>
        <w:rPr>
          <w:rFonts w:hint="eastAsia" w:ascii="仿宋_GB2312" w:hAnsi="仿宋_GB2312" w:eastAsia="仿宋_GB2312" w:cs="仿宋_GB2312"/>
          <w:b/>
          <w:bCs/>
          <w:color w:val="auto"/>
          <w:sz w:val="32"/>
          <w:szCs w:val="32"/>
          <w:highlight w:val="none"/>
          <w:shd w:val="clear"/>
          <w:lang w:eastAsia="zh-CN"/>
        </w:rPr>
        <w:t>。</w:t>
      </w:r>
      <w:r>
        <w:rPr>
          <w:rFonts w:hint="eastAsia" w:ascii="仿宋_GB2312" w:hAnsi="仿宋_GB2312" w:eastAsia="仿宋_GB2312" w:cs="仿宋_GB2312"/>
          <w:b/>
          <w:bCs/>
          <w:color w:val="auto"/>
          <w:sz w:val="32"/>
          <w:szCs w:val="32"/>
          <w:highlight w:val="none"/>
          <w:shd w:val="clear"/>
          <w:lang w:val="en-US" w:eastAsia="zh-CN"/>
        </w:rPr>
        <w:t>一是</w:t>
      </w:r>
      <w:r>
        <w:rPr>
          <w:rFonts w:hint="eastAsia" w:ascii="仿宋_GB2312" w:hAnsi="仿宋_GB2312" w:eastAsia="仿宋_GB2312" w:cs="仿宋_GB2312"/>
          <w:color w:val="auto"/>
          <w:sz w:val="32"/>
          <w:szCs w:val="32"/>
          <w:highlight w:val="none"/>
          <w:shd w:val="clear"/>
          <w:lang w:val="en-US" w:eastAsia="zh-CN"/>
        </w:rPr>
        <w:t>推进城乡教师编制“一体化核算”，建立“编制跟着学生走、师资跟着需求走”的动态调整机制，2024年向新建学校调拨编制107个；</w:t>
      </w:r>
      <w:r>
        <w:rPr>
          <w:rFonts w:hint="eastAsia" w:ascii="仿宋_GB2312" w:hAnsi="仿宋_GB2312" w:eastAsia="仿宋_GB2312" w:cs="仿宋_GB2312"/>
          <w:b/>
          <w:bCs/>
          <w:color w:val="auto"/>
          <w:sz w:val="32"/>
          <w:szCs w:val="32"/>
          <w:highlight w:val="none"/>
          <w:shd w:val="clear"/>
          <w:lang w:val="en-US" w:eastAsia="zh-CN"/>
        </w:rPr>
        <w:t>二是</w:t>
      </w:r>
      <w:r>
        <w:rPr>
          <w:rFonts w:hint="eastAsia" w:ascii="仿宋_GB2312" w:hAnsi="仿宋_GB2312" w:eastAsia="仿宋_GB2312" w:cs="仿宋_GB2312"/>
          <w:color w:val="auto"/>
          <w:sz w:val="32"/>
          <w:szCs w:val="32"/>
          <w:highlight w:val="none"/>
          <w:shd w:val="clear"/>
          <w:lang w:val="en-US" w:eastAsia="zh-CN"/>
        </w:rPr>
        <w:t>打破教师“校籍终身制”，深化“区管校聘” 改革，2024年组织优质学校教师到薄弱校交流轮岗371人，符合交流条件教师总数837人，占比44.32%；其中，骨干教师115人，占交流轮岗教师总数的31.00%；</w:t>
      </w:r>
      <w:r>
        <w:rPr>
          <w:rFonts w:hint="eastAsia" w:ascii="仿宋_GB2312" w:hAnsi="仿宋_GB2312" w:eastAsia="仿宋_GB2312" w:cs="仿宋_GB2312"/>
          <w:b/>
          <w:bCs/>
          <w:color w:val="auto"/>
          <w:sz w:val="32"/>
          <w:szCs w:val="32"/>
          <w:highlight w:val="none"/>
          <w:lang w:val="en-US" w:eastAsia="zh-CN"/>
        </w:rPr>
        <w:t>三是</w:t>
      </w:r>
      <w:r>
        <w:rPr>
          <w:rFonts w:hint="eastAsia" w:ascii="仿宋_GB2312" w:hAnsi="仿宋_GB2312" w:eastAsia="仿宋_GB2312" w:cs="仿宋_GB2312"/>
          <w:color w:val="auto"/>
          <w:sz w:val="32"/>
          <w:szCs w:val="32"/>
          <w:highlight w:val="none"/>
          <w:lang w:val="en-US" w:eastAsia="zh-CN"/>
        </w:rPr>
        <w:t>取消“重点校”资源倾斜政策，停止额外财政投入，通过“名校+弱校”结对帮扶，将优质管理、课程、师资资源推广至薄弱校，薄弱校办学水平稳步提升。</w:t>
      </w:r>
    </w:p>
    <w:p w14:paraId="1CAC5CD7">
      <w:pPr>
        <w:keepNext w:val="0"/>
        <w:keepLines w:val="0"/>
        <w:pageBreakBefore w:val="0"/>
        <w:widowControl/>
        <w:shd w:val="clea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破除体制机制冗余，</w:t>
      </w:r>
      <w:r>
        <w:rPr>
          <w:rFonts w:hint="eastAsia" w:ascii="仿宋_GB2312" w:hAnsi="仿宋_GB2312" w:eastAsia="仿宋_GB2312" w:cs="仿宋_GB2312"/>
          <w:b/>
          <w:bCs/>
          <w:color w:val="auto"/>
          <w:sz w:val="32"/>
          <w:szCs w:val="32"/>
          <w:highlight w:val="none"/>
          <w:lang w:eastAsia="zh-CN"/>
        </w:rPr>
        <w:t>消除</w:t>
      </w:r>
      <w:r>
        <w:rPr>
          <w:rFonts w:hint="eastAsia" w:ascii="仿宋_GB2312" w:hAnsi="仿宋_GB2312" w:eastAsia="仿宋_GB2312" w:cs="仿宋_GB2312"/>
          <w:b/>
          <w:bCs/>
          <w:color w:val="auto"/>
          <w:sz w:val="32"/>
          <w:szCs w:val="32"/>
          <w:highlight w:val="none"/>
        </w:rPr>
        <w:t>教育治理的低效环节</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color w:val="auto"/>
          <w:sz w:val="32"/>
          <w:szCs w:val="32"/>
          <w:highlight w:val="none"/>
          <w:lang w:val="en-US" w:eastAsia="zh-CN"/>
        </w:rPr>
        <w:t>给学校减负松绑，清理非必要行政任务，大力取消“填表报数”事项、“迎检考核”活动，明确“进校园”事项审批清单，让校长、教师聚焦教学；</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color w:val="auto"/>
          <w:sz w:val="32"/>
          <w:szCs w:val="32"/>
          <w:highlight w:val="none"/>
          <w:lang w:val="en-US" w:eastAsia="zh-CN"/>
        </w:rPr>
        <w:t>赋予学校更多自主权，在课程实施、经费使用等方面减少“一刀切”管控；</w:t>
      </w:r>
      <w:r>
        <w:rPr>
          <w:rFonts w:hint="eastAsia" w:ascii="仿宋_GB2312" w:hAnsi="仿宋_GB2312" w:eastAsia="仿宋_GB2312" w:cs="仿宋_GB2312"/>
          <w:b/>
          <w:bCs/>
          <w:color w:val="auto"/>
          <w:sz w:val="32"/>
          <w:szCs w:val="32"/>
          <w:highlight w:val="none"/>
          <w:lang w:val="en-US" w:eastAsia="zh-CN"/>
        </w:rPr>
        <w:t>三是</w:t>
      </w:r>
      <w:r>
        <w:rPr>
          <w:rFonts w:hint="eastAsia" w:ascii="仿宋_GB2312" w:hAnsi="仿宋_GB2312" w:eastAsia="仿宋_GB2312" w:cs="仿宋_GB2312"/>
          <w:color w:val="auto"/>
          <w:sz w:val="32"/>
          <w:szCs w:val="32"/>
          <w:highlight w:val="none"/>
          <w:lang w:val="en-US" w:eastAsia="zh-CN"/>
        </w:rPr>
        <w:t>简化招生流程，实现公安、社保、教育、房产部门信息共享，随迁子女积分入学“线上提交、一次审核”，减少家长“多头跑”；</w:t>
      </w:r>
      <w:r>
        <w:rPr>
          <w:rFonts w:hint="eastAsia" w:ascii="仿宋_GB2312" w:hAnsi="仿宋_GB2312" w:eastAsia="仿宋_GB2312" w:cs="仿宋_GB2312"/>
          <w:b/>
          <w:bCs/>
          <w:color w:val="auto"/>
          <w:sz w:val="32"/>
          <w:szCs w:val="32"/>
          <w:highlight w:val="none"/>
          <w:lang w:val="en-US" w:eastAsia="zh-CN"/>
        </w:rPr>
        <w:t>四是</w:t>
      </w:r>
      <w:r>
        <w:rPr>
          <w:rFonts w:hint="eastAsia" w:ascii="仿宋_GB2312" w:hAnsi="仿宋_GB2312" w:eastAsia="仿宋_GB2312" w:cs="仿宋_GB2312"/>
          <w:color w:val="auto"/>
          <w:sz w:val="32"/>
          <w:szCs w:val="32"/>
          <w:highlight w:val="none"/>
          <w:lang w:val="en-US" w:eastAsia="zh-CN"/>
        </w:rPr>
        <w:t>整合教育评估体系，将原来分散评估整合为“学生全面发展评估”“学校办学质量评估”，减少学校迎检负担。​</w:t>
      </w:r>
    </w:p>
    <w:p w14:paraId="24C94A8E">
      <w:pPr>
        <w:keepNext w:val="0"/>
        <w:keepLines w:val="0"/>
        <w:pageBreakBefore w:val="0"/>
        <w:widowControl/>
        <w:shd w:val="clea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破除群体公平障碍，消除教育机会的</w:t>
      </w:r>
      <w:r>
        <w:rPr>
          <w:rFonts w:hint="eastAsia" w:ascii="仿宋_GB2312" w:hAnsi="仿宋_GB2312" w:eastAsia="仿宋_GB2312" w:cs="仿宋_GB2312"/>
          <w:b/>
          <w:bCs/>
          <w:color w:val="auto"/>
          <w:sz w:val="32"/>
          <w:szCs w:val="32"/>
          <w:highlight w:val="none"/>
          <w:lang w:eastAsia="zh-CN"/>
        </w:rPr>
        <w:t>阶层固化。</w:t>
      </w: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color w:val="auto"/>
          <w:sz w:val="32"/>
          <w:szCs w:val="32"/>
          <w:highlight w:val="none"/>
          <w:lang w:val="en-US" w:eastAsia="zh-CN"/>
        </w:rPr>
        <w:t>落实随迁子女“积分入学”政策，2024年申请入学随迁子女学位3933个，与本地学生同等享受升学、资助、评优权利；</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color w:val="auto"/>
          <w:sz w:val="32"/>
          <w:szCs w:val="32"/>
          <w:highlight w:val="none"/>
          <w:lang w:val="en-US" w:eastAsia="zh-CN"/>
        </w:rPr>
        <w:t>保障残疾学生教育权益，取消入学隐性门槛，2025年义务教育学校接收残疾学生126人，为21名重度残疾学生提供“送教上门”服务；</w:t>
      </w:r>
      <w:r>
        <w:rPr>
          <w:rFonts w:hint="eastAsia" w:ascii="仿宋_GB2312" w:hAnsi="仿宋_GB2312" w:eastAsia="仿宋_GB2312" w:cs="仿宋_GB2312"/>
          <w:b/>
          <w:bCs/>
          <w:color w:val="auto"/>
          <w:sz w:val="32"/>
          <w:szCs w:val="32"/>
          <w:highlight w:val="none"/>
          <w:lang w:val="en-US" w:eastAsia="zh-CN"/>
        </w:rPr>
        <w:t>三是</w:t>
      </w:r>
      <w:r>
        <w:rPr>
          <w:rFonts w:hint="eastAsia" w:ascii="仿宋_GB2312" w:hAnsi="仿宋_GB2312" w:eastAsia="仿宋_GB2312" w:cs="仿宋_GB2312"/>
          <w:color w:val="auto"/>
          <w:sz w:val="32"/>
          <w:szCs w:val="32"/>
          <w:highlight w:val="none"/>
          <w:lang w:val="en-US" w:eastAsia="zh-CN"/>
        </w:rPr>
        <w:t>简化资助申请流程，家庭经济困难学生通过“线上申报+社区核验”即可获得资助。​</w:t>
      </w:r>
    </w:p>
    <w:p w14:paraId="4CC33D82">
      <w:pPr>
        <w:keepNext w:val="0"/>
        <w:keepLines w:val="0"/>
        <w:pageBreakBefore w:val="0"/>
        <w:widowControl/>
        <w:shd w:val="clea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破除质量评价</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单一化</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消除</w:t>
      </w:r>
      <w:r>
        <w:rPr>
          <w:rFonts w:hint="eastAsia" w:ascii="仿宋_GB2312" w:hAnsi="仿宋_GB2312" w:eastAsia="仿宋_GB2312" w:cs="仿宋_GB2312"/>
          <w:b/>
          <w:bCs/>
          <w:color w:val="auto"/>
          <w:sz w:val="32"/>
          <w:szCs w:val="32"/>
          <w:highlight w:val="none"/>
        </w:rPr>
        <w:t>教育导向的分数枷锁</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color w:val="auto"/>
          <w:sz w:val="32"/>
          <w:szCs w:val="32"/>
          <w:highlight w:val="none"/>
          <w:lang w:val="en-US" w:eastAsia="zh-CN"/>
        </w:rPr>
        <w:t>改革学校评价，取消“升学率与考核直接挂钩”，将学生综合素质、师资专业发展、家校协同、特色建设等纳入核心指标，督促挤占音体美课程学校迅速整改；</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color w:val="auto"/>
          <w:sz w:val="32"/>
          <w:szCs w:val="32"/>
          <w:highlight w:val="none"/>
          <w:lang w:val="en-US" w:eastAsia="zh-CN"/>
        </w:rPr>
        <w:t>推行学生综合素质评价，建立“品德表现、学业成绩、社会实践、兴趣特长”四维评价体系，减少唯分数标签化，为在校义务教育学生建立综合素质档案；</w:t>
      </w:r>
      <w:r>
        <w:rPr>
          <w:rFonts w:hint="eastAsia" w:ascii="仿宋_GB2312" w:hAnsi="仿宋_GB2312" w:eastAsia="仿宋_GB2312" w:cs="仿宋_GB2312"/>
          <w:b/>
          <w:bCs/>
          <w:color w:val="auto"/>
          <w:sz w:val="32"/>
          <w:szCs w:val="32"/>
          <w:highlight w:val="none"/>
          <w:lang w:val="en-US" w:eastAsia="zh-CN"/>
        </w:rPr>
        <w:t>三是</w:t>
      </w:r>
      <w:r>
        <w:rPr>
          <w:rFonts w:hint="eastAsia" w:ascii="仿宋_GB2312" w:hAnsi="仿宋_GB2312" w:eastAsia="仿宋_GB2312" w:cs="仿宋_GB2312"/>
          <w:color w:val="auto"/>
          <w:sz w:val="32"/>
          <w:szCs w:val="32"/>
          <w:highlight w:val="none"/>
          <w:lang w:val="en-US" w:eastAsia="zh-CN"/>
        </w:rPr>
        <w:t>鼓励差异化课程设置，允许学校结合地域特色、学生需求开发课程，全区中小学开设 STEAM 教育、海洋科普、非遗传承等特色课程，满足学生多元发展需求。​</w:t>
      </w:r>
    </w:p>
    <w:p w14:paraId="216C4631">
      <w:pPr>
        <w:keepNext w:val="0"/>
        <w:keepLines w:val="0"/>
        <w:pageBreakBefore w:val="0"/>
        <w:widowControl/>
        <w:shd w:val="clea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四、存在问题​</w:t>
      </w:r>
    </w:p>
    <w:p w14:paraId="5B7E87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Autospacing="0" w:afterAutospacing="0" w:line="560" w:lineRule="exact"/>
        <w:ind w:left="0" w:leftChars="0" w:right="0" w:firstLine="640"/>
        <w:jc w:val="left"/>
        <w:textAlignment w:val="baseline"/>
        <w:rPr>
          <w:rFonts w:hint="eastAsia"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（一）学位供需空间失衡问题亟待化解​</w:t>
      </w:r>
    </w:p>
    <w:p w14:paraId="5F38B793">
      <w:pPr>
        <w:keepNext w:val="0"/>
        <w:keepLines w:val="0"/>
        <w:pageBreakBefore w:val="0"/>
        <w:widowControl/>
        <w:shd w:val="clea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2021-2024年辖区外来人口持续增加，初中学位供需矛盾突出。2021-2024年，我区新改扩建学校20所，新增义务教育学位26310个，仍然存在学位“中心紧张，东西富余”的空间失衡问题。如大亚湾中心区、澳头老城区、西区万达商圈和海惠社区等人口居住密集区义务教育学位供给相对不足，霞涌街道和西区街道龙光城片区义务教育学位相对富余，导致部分学校学位紧缺，部分学校空余学位较多。​</w:t>
      </w:r>
    </w:p>
    <w:p w14:paraId="34FD8B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Autospacing="0" w:afterAutospacing="0" w:line="560" w:lineRule="exact"/>
        <w:ind w:left="0" w:leftChars="0" w:right="0" w:firstLine="640"/>
        <w:jc w:val="left"/>
        <w:textAlignment w:val="baseline"/>
        <w:rPr>
          <w:rFonts w:hint="eastAsia"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（二）教师队伍建设急需强化​</w:t>
      </w:r>
    </w:p>
    <w:p w14:paraId="04DA43FB">
      <w:pPr>
        <w:keepNext w:val="0"/>
        <w:keepLines w:val="0"/>
        <w:pageBreakBefore w:val="0"/>
        <w:widowControl/>
        <w:shd w:val="clea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lang w:val="en-US" w:eastAsia="zh-CN"/>
        </w:rPr>
        <w:t>2021年以来累计招聘应往届毕业生2637人，全区教师平均年龄32.8岁，入职教师占比达73.67%。</w:t>
      </w:r>
      <w:r>
        <w:rPr>
          <w:rFonts w:hint="eastAsia" w:ascii="仿宋_GB2312" w:hAnsi="仿宋_GB2312" w:eastAsia="仿宋_GB2312" w:cs="仿宋_GB2312"/>
          <w:color w:val="auto"/>
          <w:sz w:val="32"/>
          <w:szCs w:val="32"/>
          <w:highlight w:val="none"/>
          <w:lang w:val="en-US" w:eastAsia="zh-CN"/>
        </w:rPr>
        <w:t>青年教师存在“教学经验不足、班级管理能力欠缺”等问题，区级教学指导团队力量薄弱，难以满足全覆盖指导需求；同时，高端人才（如省级名师、正高级教师、特级教师）匮乏，引才、用才、留才机制需进一步完善。</w:t>
      </w:r>
    </w:p>
    <w:p w14:paraId="4538BF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Autospacing="0" w:afterAutospacing="0" w:line="560" w:lineRule="exact"/>
        <w:ind w:left="0" w:leftChars="0" w:right="0" w:firstLine="640"/>
        <w:jc w:val="left"/>
        <w:textAlignment w:val="baseline"/>
        <w:rPr>
          <w:rFonts w:hint="eastAsia"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（三）教育品牌特色仍须打造​</w:t>
      </w:r>
    </w:p>
    <w:p w14:paraId="23F86606">
      <w:pPr>
        <w:keepNext w:val="0"/>
        <w:keepLines w:val="0"/>
        <w:pageBreakBefore w:val="0"/>
        <w:widowControl/>
        <w:shd w:val="clea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虽然2024年义务教育阶段学生学业水平监测成绩位居全市前列，但与珠三角同等经济实力县区相比，我区优质学校数量、特色课程影响力存在差距。全区现有6所国家级校园足球特色学校，其他省级以上“特色学校”不多，缺乏在全省有辨识度的教育品牌，教育影响力与“国家级开发区”经济地位不匹配。​</w:t>
      </w:r>
    </w:p>
    <w:p w14:paraId="677E0C86">
      <w:pPr>
        <w:keepNext w:val="0"/>
        <w:keepLines w:val="0"/>
        <w:pageBreakBefore w:val="0"/>
        <w:widowControl/>
        <w:shd w:val="clea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黑体" w:hAnsi="黑体" w:eastAsia="黑体" w:cs="黑体"/>
          <w:color w:val="auto"/>
          <w:sz w:val="32"/>
          <w:szCs w:val="32"/>
          <w:highlight w:val="none"/>
          <w:lang w:val="en-US" w:eastAsia="zh-CN"/>
        </w:rPr>
        <w:t>五、下一步工作计划</w:t>
      </w:r>
      <w:r>
        <w:rPr>
          <w:rFonts w:hint="eastAsia" w:ascii="仿宋" w:hAnsi="仿宋" w:eastAsia="仿宋" w:cs="仿宋"/>
          <w:color w:val="auto"/>
          <w:sz w:val="32"/>
          <w:szCs w:val="32"/>
          <w:highlight w:val="none"/>
          <w:lang w:val="en-US" w:eastAsia="zh-CN"/>
        </w:rPr>
        <w:t>​</w:t>
      </w:r>
    </w:p>
    <w:p w14:paraId="797BEC9C">
      <w:pPr>
        <w:keepNext w:val="0"/>
        <w:keepLines w:val="0"/>
        <w:pageBreakBefore w:val="0"/>
        <w:widowControl/>
        <w:shd w:val="clea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楷体_GB2312" w:hAnsi="楷体_GB2312" w:eastAsia="楷体_GB2312" w:cs="楷体_GB2312"/>
          <w:b w:val="0"/>
          <w:bCs w:val="0"/>
          <w:color w:val="auto"/>
          <w:kern w:val="2"/>
          <w:sz w:val="32"/>
          <w:szCs w:val="32"/>
          <w:highlight w:val="none"/>
          <w:lang w:val="en-US" w:eastAsia="zh-CN" w:bidi="ar-SA"/>
        </w:rPr>
        <w:t>（一）统筹兼顾，扩大学位供给促均衡</w:t>
      </w:r>
    </w:p>
    <w:p w14:paraId="3A518DBD">
      <w:pPr>
        <w:keepNext w:val="0"/>
        <w:keepLines w:val="0"/>
        <w:pageBreakBefore w:val="0"/>
        <w:widowControl/>
        <w:shd w:val="clea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color w:val="auto"/>
          <w:sz w:val="32"/>
          <w:szCs w:val="32"/>
          <w:highlight w:val="none"/>
        </w:rPr>
        <w:t>加快学校建设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2025-2027年计划</w:t>
      </w:r>
      <w:r>
        <w:rPr>
          <w:rFonts w:hint="eastAsia" w:ascii="仿宋_GB2312" w:hAnsi="仿宋_GB2312" w:eastAsia="仿宋_GB2312" w:cs="仿宋_GB2312"/>
          <w:color w:val="auto"/>
          <w:sz w:val="32"/>
          <w:szCs w:val="32"/>
          <w:highlight w:val="none"/>
          <w:lang w:val="en-US" w:eastAsia="zh-CN"/>
        </w:rPr>
        <w:t>启动</w:t>
      </w:r>
      <w:r>
        <w:rPr>
          <w:rFonts w:hint="eastAsia" w:ascii="仿宋_GB2312" w:hAnsi="仿宋_GB2312" w:eastAsia="仿宋_GB2312" w:cs="仿宋_GB2312"/>
          <w:color w:val="auto"/>
          <w:sz w:val="32"/>
          <w:szCs w:val="32"/>
          <w:highlight w:val="none"/>
        </w:rPr>
        <w:t>新建学校</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总投资10.81847亿元，总用地面积1894703.5平方米，总建筑面积192082.67平方米，建成后可新增义务教育学位9390</w:t>
      </w:r>
      <w:r>
        <w:rPr>
          <w:rFonts w:hint="eastAsia" w:ascii="仿宋_GB2312" w:hAnsi="仿宋_GB2312" w:eastAsia="仿宋_GB2312" w:cs="仿宋_GB2312"/>
          <w:color w:val="auto"/>
          <w:sz w:val="32"/>
          <w:szCs w:val="32"/>
          <w:highlight w:val="none"/>
          <w:lang w:val="en-US" w:eastAsia="zh-CN"/>
        </w:rPr>
        <w:t>个、</w:t>
      </w:r>
      <w:r>
        <w:rPr>
          <w:rFonts w:hint="eastAsia" w:ascii="仿宋_GB2312" w:hAnsi="仿宋_GB2312" w:eastAsia="仿宋_GB2312" w:cs="仿宋_GB2312"/>
          <w:color w:val="auto"/>
          <w:sz w:val="32"/>
          <w:szCs w:val="32"/>
          <w:highlight w:val="none"/>
        </w:rPr>
        <w:t>班级192个</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重点缓解中心片区学位压力；</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color w:val="auto"/>
          <w:sz w:val="32"/>
          <w:szCs w:val="32"/>
          <w:highlight w:val="none"/>
        </w:rPr>
        <w:t>优化资源配置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通过“集团化办学”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结对帮扶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等，提升薄弱学校办学水平，扩大优质学位供给，满足更多人民群众就近“上好学”的需求</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三是</w:t>
      </w:r>
      <w:r>
        <w:rPr>
          <w:rFonts w:hint="eastAsia" w:ascii="仿宋_GB2312" w:hAnsi="仿宋_GB2312" w:eastAsia="仿宋_GB2312" w:cs="仿宋_GB2312"/>
          <w:color w:val="auto"/>
          <w:sz w:val="32"/>
          <w:szCs w:val="32"/>
          <w:highlight w:val="none"/>
        </w:rPr>
        <w:t>动态调整编制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持续落实“教师编制跟着学生走”，优先投向中心片区及体育、艺术、信息技术</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rPr>
        <w:t>紧缺学科。​</w:t>
      </w:r>
    </w:p>
    <w:p w14:paraId="5CA8CC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Autospacing="0" w:afterAutospacing="0" w:line="560" w:lineRule="exact"/>
        <w:ind w:left="0" w:leftChars="0" w:right="0" w:firstLine="640"/>
        <w:jc w:val="left"/>
        <w:textAlignment w:val="baseline"/>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（二）多措并举，打造创新型教师队伍</w:t>
      </w:r>
    </w:p>
    <w:p w14:paraId="1882CBD8">
      <w:pPr>
        <w:keepNext w:val="0"/>
        <w:keepLines w:val="0"/>
        <w:pageBreakBefore w:val="0"/>
        <w:widowControl/>
        <w:numPr>
          <w:ilvl w:val="-1"/>
          <w:numId w:val="0"/>
        </w:numPr>
        <w:shd w:val="clea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color w:val="auto"/>
          <w:sz w:val="32"/>
          <w:szCs w:val="32"/>
          <w:highlight w:val="none"/>
        </w:rPr>
        <w:t>强化人才引育</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实施“名校长、名师、名班主任培育工程”，202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-2027年计划引进</w:t>
      </w:r>
      <w:r>
        <w:rPr>
          <w:rFonts w:hint="eastAsia" w:ascii="仿宋_GB2312" w:hAnsi="仿宋_GB2312" w:eastAsia="仿宋_GB2312" w:cs="仿宋_GB2312"/>
          <w:color w:val="auto"/>
          <w:sz w:val="32"/>
          <w:szCs w:val="32"/>
          <w:highlight w:val="none"/>
          <w:lang w:val="en-US" w:eastAsia="zh-CN"/>
        </w:rPr>
        <w:t>名优校长及紧缺学科骨干教师、高层次专家人才3</w:t>
      </w:r>
      <w:r>
        <w:rPr>
          <w:rFonts w:hint="eastAsia" w:ascii="仿宋_GB2312" w:hAnsi="仿宋_GB2312" w:eastAsia="仿宋_GB2312" w:cs="仿宋_GB2312"/>
          <w:color w:val="auto"/>
          <w:sz w:val="32"/>
          <w:szCs w:val="32"/>
          <w:highlight w:val="none"/>
        </w:rPr>
        <w:t>0人，培养区级学科带头人150人；通过“师徒结对”“跟岗学习”“外出培训”等方式，每年培训青年教师不少于</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00人次；</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color w:val="auto"/>
          <w:sz w:val="32"/>
          <w:szCs w:val="32"/>
          <w:highlight w:val="none"/>
        </w:rPr>
        <w:t>深化校地合作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与华</w:t>
      </w:r>
      <w:r>
        <w:rPr>
          <w:rFonts w:hint="eastAsia" w:ascii="仿宋_GB2312" w:hAnsi="仿宋_GB2312" w:eastAsia="仿宋_GB2312" w:cs="仿宋_GB2312"/>
          <w:color w:val="auto"/>
          <w:sz w:val="32"/>
          <w:szCs w:val="32"/>
          <w:highlight w:val="none"/>
          <w:lang w:val="en-US" w:eastAsia="zh-CN"/>
        </w:rPr>
        <w:t>中</w:t>
      </w:r>
      <w:r>
        <w:rPr>
          <w:rFonts w:hint="eastAsia" w:ascii="仿宋_GB2312" w:hAnsi="仿宋_GB2312" w:eastAsia="仿宋_GB2312" w:cs="仿宋_GB2312"/>
          <w:color w:val="auto"/>
          <w:sz w:val="32"/>
          <w:szCs w:val="32"/>
          <w:highlight w:val="none"/>
        </w:rPr>
        <w:t>师范大学、惠州学院等高校建立“人才培养基地”，畅通优秀毕业生招聘通道；</w:t>
      </w:r>
      <w:r>
        <w:rPr>
          <w:rFonts w:hint="eastAsia" w:ascii="仿宋_GB2312" w:hAnsi="仿宋_GB2312" w:eastAsia="仿宋_GB2312" w:cs="仿宋_GB2312"/>
          <w:b/>
          <w:bCs/>
          <w:color w:val="auto"/>
          <w:sz w:val="32"/>
          <w:szCs w:val="32"/>
          <w:highlight w:val="none"/>
          <w:lang w:val="en-US" w:eastAsia="zh-CN"/>
        </w:rPr>
        <w:t>三是</w:t>
      </w:r>
      <w:r>
        <w:rPr>
          <w:rFonts w:hint="eastAsia" w:ascii="仿宋_GB2312" w:hAnsi="仿宋_GB2312" w:eastAsia="仿宋_GB2312" w:cs="仿宋_GB2312"/>
          <w:color w:val="auto"/>
          <w:sz w:val="32"/>
          <w:szCs w:val="32"/>
          <w:highlight w:val="none"/>
        </w:rPr>
        <w:t>完善交流机制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扩大教师交流轮岗范围，</w:t>
      </w:r>
      <w:r>
        <w:rPr>
          <w:rFonts w:hint="eastAsia" w:ascii="仿宋_GB2312" w:hAnsi="仿宋_GB2312" w:eastAsia="仿宋_GB2312" w:cs="仿宋_GB2312"/>
          <w:color w:val="auto"/>
          <w:sz w:val="32"/>
          <w:szCs w:val="32"/>
          <w:highlight w:val="none"/>
          <w:lang w:val="en-US" w:eastAsia="zh-CN"/>
        </w:rPr>
        <w:t>到</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力争</w:t>
      </w:r>
      <w:r>
        <w:rPr>
          <w:rFonts w:hint="eastAsia" w:ascii="仿宋_GB2312" w:hAnsi="仿宋_GB2312" w:eastAsia="仿宋_GB2312" w:cs="仿宋_GB2312"/>
          <w:color w:val="auto"/>
          <w:sz w:val="32"/>
          <w:szCs w:val="32"/>
          <w:highlight w:val="none"/>
        </w:rPr>
        <w:t>实现优质学校教师到薄弱校轮岗比例不低于20%，发挥优质师资辐射作用。</w:t>
      </w:r>
    </w:p>
    <w:p w14:paraId="418CCD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Autospacing="0" w:afterAutospacing="0" w:line="560" w:lineRule="exact"/>
        <w:ind w:left="0" w:leftChars="0" w:right="0" w:firstLine="640"/>
        <w:jc w:val="left"/>
        <w:textAlignment w:val="baseline"/>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（三）因地制宜，着力培育品牌特色</w:t>
      </w:r>
    </w:p>
    <w:p w14:paraId="3809C893">
      <w:pPr>
        <w:keepNext w:val="0"/>
        <w:keepLines w:val="0"/>
        <w:pageBreakBefore w:val="0"/>
        <w:widowControl/>
        <w:shd w:val="clea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color w:val="auto"/>
          <w:sz w:val="32"/>
          <w:szCs w:val="32"/>
          <w:highlight w:val="none"/>
        </w:rPr>
        <w:t>深化数智化改革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与华中师范大学持续推进“数智化课堂学习改革实践项目”，202</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年实现所有学校智慧教室全覆盖，开发“人工智能+学科教学”融合课程20门；</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color w:val="auto"/>
          <w:sz w:val="32"/>
          <w:szCs w:val="32"/>
          <w:highlight w:val="none"/>
        </w:rPr>
        <w:t>打造特色品牌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推行“一校一品牌，一校一特色”，重点依托大亚湾海洋资源培育“海洋教育”、对接本地石化、电子产业</w:t>
      </w:r>
      <w:r>
        <w:rPr>
          <w:rFonts w:hint="eastAsia" w:ascii="仿宋_GB2312" w:hAnsi="仿宋_GB2312" w:eastAsia="仿宋_GB2312" w:cs="仿宋_GB2312"/>
          <w:color w:val="auto"/>
          <w:sz w:val="32"/>
          <w:szCs w:val="32"/>
          <w:highlight w:val="none"/>
          <w:lang w:val="en-US" w:eastAsia="zh-CN"/>
        </w:rPr>
        <w:t>培育</w:t>
      </w:r>
      <w:r>
        <w:rPr>
          <w:rFonts w:hint="eastAsia" w:ascii="仿宋_GB2312" w:hAnsi="仿宋_GB2312" w:eastAsia="仿宋_GB2312" w:cs="仿宋_GB2312"/>
          <w:color w:val="auto"/>
          <w:sz w:val="32"/>
          <w:szCs w:val="32"/>
          <w:highlight w:val="none"/>
        </w:rPr>
        <w:t>“科技教育”、结合客家文化</w:t>
      </w:r>
      <w:r>
        <w:rPr>
          <w:rFonts w:hint="eastAsia" w:ascii="仿宋_GB2312" w:hAnsi="仿宋_GB2312" w:eastAsia="仿宋_GB2312" w:cs="仿宋_GB2312"/>
          <w:color w:val="auto"/>
          <w:sz w:val="32"/>
          <w:szCs w:val="32"/>
          <w:highlight w:val="none"/>
          <w:lang w:val="en-US" w:eastAsia="zh-CN"/>
        </w:rPr>
        <w:t>和渔家风俗培育</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乡土</w:t>
      </w:r>
      <w:r>
        <w:rPr>
          <w:rFonts w:hint="eastAsia" w:ascii="仿宋_GB2312" w:hAnsi="仿宋_GB2312" w:eastAsia="仿宋_GB2312" w:cs="仿宋_GB2312"/>
          <w:color w:val="auto"/>
          <w:sz w:val="32"/>
          <w:szCs w:val="32"/>
          <w:highlight w:val="none"/>
        </w:rPr>
        <w:t>教育”等特色方向，202</w:t>
      </w:r>
      <w:r>
        <w:rPr>
          <w:rFonts w:hint="eastAsia" w:ascii="仿宋_GB2312" w:hAnsi="仿宋_GB2312" w:eastAsia="仿宋_GB2312" w:cs="仿宋_GB2312"/>
          <w:color w:val="auto"/>
          <w:sz w:val="32"/>
          <w:szCs w:val="32"/>
          <w:highlight w:val="none"/>
          <w:lang w:val="en-US" w:eastAsia="zh-CN"/>
        </w:rPr>
        <w:t>6—2027</w:t>
      </w:r>
      <w:r>
        <w:rPr>
          <w:rFonts w:hint="eastAsia" w:ascii="仿宋_GB2312" w:hAnsi="仿宋_GB2312" w:eastAsia="仿宋_GB2312" w:cs="仿宋_GB2312"/>
          <w:color w:val="auto"/>
          <w:sz w:val="32"/>
          <w:szCs w:val="32"/>
          <w:highlight w:val="none"/>
        </w:rPr>
        <w:t>年计划新增省级特色学校</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所；</w:t>
      </w:r>
      <w:r>
        <w:rPr>
          <w:rFonts w:hint="eastAsia" w:ascii="仿宋_GB2312" w:hAnsi="仿宋_GB2312" w:eastAsia="仿宋_GB2312" w:cs="仿宋_GB2312"/>
          <w:b/>
          <w:bCs/>
          <w:color w:val="auto"/>
          <w:sz w:val="32"/>
          <w:szCs w:val="32"/>
          <w:highlight w:val="none"/>
          <w:lang w:val="en-US" w:eastAsia="zh-CN"/>
        </w:rPr>
        <w:t>三是</w:t>
      </w:r>
      <w:r>
        <w:rPr>
          <w:rFonts w:hint="eastAsia" w:ascii="仿宋_GB2312" w:hAnsi="仿宋_GB2312" w:eastAsia="仿宋_GB2312" w:cs="仿宋_GB2312"/>
          <w:color w:val="auto"/>
          <w:sz w:val="32"/>
          <w:szCs w:val="32"/>
          <w:highlight w:val="none"/>
        </w:rPr>
        <w:t>提升课程质量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鼓励学校开发STEAM教育、劳动教育、研学实践等特色课程，202</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年全区特色课程总量达100门，建立课程质量评估机制，确保特色课程落地见效。​</w:t>
      </w:r>
    </w:p>
    <w:p w14:paraId="5335A218">
      <w:pPr>
        <w:keepNext w:val="0"/>
        <w:keepLines w:val="0"/>
        <w:pageBreakBefore w:val="0"/>
        <w:widowControl/>
        <w:shd w:val="clea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bookmarkStart w:id="0" w:name="_GoBack"/>
      <w:bookmarkEnd w:id="0"/>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E32FEB-3E80-4588-A59A-D7235F6B906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2" w:fontKey="{18328068-0796-410A-9F08-1AFF88964856}"/>
  </w:font>
  <w:font w:name="楷体_GB2312">
    <w:panose1 w:val="02010609030101010101"/>
    <w:charset w:val="86"/>
    <w:family w:val="auto"/>
    <w:pitch w:val="default"/>
    <w:sig w:usb0="00000001" w:usb1="080E0000" w:usb2="00000000" w:usb3="00000000" w:csb0="00040000" w:csb1="00000000"/>
    <w:embedRegular r:id="rId3" w:fontKey="{B55BDB1B-F667-42C5-AF34-35BD38C9C1E2}"/>
  </w:font>
  <w:font w:name="仿宋_GB2312">
    <w:panose1 w:val="02010609030101010101"/>
    <w:charset w:val="86"/>
    <w:family w:val="auto"/>
    <w:pitch w:val="default"/>
    <w:sig w:usb0="00000001" w:usb1="080E0000" w:usb2="00000000" w:usb3="00000000" w:csb0="00040000" w:csb1="00000000"/>
    <w:embedRegular r:id="rId4" w:fontKey="{DA7B5CC4-1934-439E-B3B4-FFE848376557}"/>
  </w:font>
  <w:font w:name="仿宋">
    <w:panose1 w:val="02010609060101010101"/>
    <w:charset w:val="86"/>
    <w:family w:val="auto"/>
    <w:pitch w:val="default"/>
    <w:sig w:usb0="800002BF" w:usb1="38CF7CFA" w:usb2="00000016" w:usb3="00000000" w:csb0="00040001" w:csb1="00000000"/>
    <w:embedRegular r:id="rId5" w:fontKey="{1800C493-E411-40C7-BA62-B17701C40F4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7F68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8E5345">
                          <w:pPr>
                            <w:pStyle w:val="6"/>
                          </w:pP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PAGE  \* MERGEFORMAT </w:instrText>
                          </w:r>
                          <w:r>
                            <w:rPr>
                              <w:rFonts w:hint="eastAsia" w:ascii="宋体" w:hAnsi="宋体" w:eastAsia="宋体" w:cs="宋体"/>
                              <w:sz w:val="28"/>
                              <w:szCs w:val="40"/>
                            </w:rPr>
                            <w:fldChar w:fldCharType="separate"/>
                          </w:r>
                          <w:r>
                            <w:rPr>
                              <w:rFonts w:hint="eastAsia" w:ascii="宋体" w:hAnsi="宋体" w:eastAsia="宋体" w:cs="宋体"/>
                              <w:sz w:val="28"/>
                              <w:szCs w:val="40"/>
                            </w:rPr>
                            <w:t>1</w:t>
                          </w:r>
                          <w:r>
                            <w:rPr>
                              <w:rFonts w:hint="eastAsia" w:ascii="宋体" w:hAnsi="宋体" w:eastAsia="宋体" w:cs="宋体"/>
                              <w:sz w:val="28"/>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8E5345">
                    <w:pPr>
                      <w:pStyle w:val="6"/>
                    </w:pP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PAGE  \* MERGEFORMAT </w:instrText>
                    </w:r>
                    <w:r>
                      <w:rPr>
                        <w:rFonts w:hint="eastAsia" w:ascii="宋体" w:hAnsi="宋体" w:eastAsia="宋体" w:cs="宋体"/>
                        <w:sz w:val="28"/>
                        <w:szCs w:val="40"/>
                      </w:rPr>
                      <w:fldChar w:fldCharType="separate"/>
                    </w:r>
                    <w:r>
                      <w:rPr>
                        <w:rFonts w:hint="eastAsia" w:ascii="宋体" w:hAnsi="宋体" w:eastAsia="宋体" w:cs="宋体"/>
                        <w:sz w:val="28"/>
                        <w:szCs w:val="40"/>
                      </w:rPr>
                      <w:t>1</w:t>
                    </w:r>
                    <w:r>
                      <w:rPr>
                        <w:rFonts w:hint="eastAsia" w:ascii="宋体" w:hAnsi="宋体" w:eastAsia="宋体" w:cs="宋体"/>
                        <w:sz w:val="28"/>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876D83"/>
    <w:rsid w:val="000F4D1D"/>
    <w:rsid w:val="00210D6B"/>
    <w:rsid w:val="00473031"/>
    <w:rsid w:val="00502390"/>
    <w:rsid w:val="005C1A26"/>
    <w:rsid w:val="00641030"/>
    <w:rsid w:val="00661709"/>
    <w:rsid w:val="0066795B"/>
    <w:rsid w:val="006A7A1D"/>
    <w:rsid w:val="007958E0"/>
    <w:rsid w:val="00970586"/>
    <w:rsid w:val="00C05EC7"/>
    <w:rsid w:val="00EA40E8"/>
    <w:rsid w:val="00FD19B6"/>
    <w:rsid w:val="00FF410F"/>
    <w:rsid w:val="011B0B5F"/>
    <w:rsid w:val="012375FA"/>
    <w:rsid w:val="0136732D"/>
    <w:rsid w:val="013D4597"/>
    <w:rsid w:val="015157B6"/>
    <w:rsid w:val="01564087"/>
    <w:rsid w:val="01594827"/>
    <w:rsid w:val="01671BDD"/>
    <w:rsid w:val="01700269"/>
    <w:rsid w:val="017D65FD"/>
    <w:rsid w:val="018362EB"/>
    <w:rsid w:val="018A1427"/>
    <w:rsid w:val="018C7B99"/>
    <w:rsid w:val="01A324E9"/>
    <w:rsid w:val="01E53AAB"/>
    <w:rsid w:val="02251150"/>
    <w:rsid w:val="02467677"/>
    <w:rsid w:val="024D21D6"/>
    <w:rsid w:val="02583F4E"/>
    <w:rsid w:val="02624152"/>
    <w:rsid w:val="02647ECA"/>
    <w:rsid w:val="02673442"/>
    <w:rsid w:val="026D327B"/>
    <w:rsid w:val="026F3BE4"/>
    <w:rsid w:val="0276069D"/>
    <w:rsid w:val="02A136EB"/>
    <w:rsid w:val="02AC5A72"/>
    <w:rsid w:val="02C31E14"/>
    <w:rsid w:val="02D92666"/>
    <w:rsid w:val="031B2C7F"/>
    <w:rsid w:val="0320472C"/>
    <w:rsid w:val="03610A19"/>
    <w:rsid w:val="03AA68FB"/>
    <w:rsid w:val="03BA01AE"/>
    <w:rsid w:val="03EC2B7B"/>
    <w:rsid w:val="03F12886"/>
    <w:rsid w:val="04363AE8"/>
    <w:rsid w:val="044B1342"/>
    <w:rsid w:val="045D2E23"/>
    <w:rsid w:val="046B3BDB"/>
    <w:rsid w:val="0499583B"/>
    <w:rsid w:val="04A6582D"/>
    <w:rsid w:val="04CE5ACF"/>
    <w:rsid w:val="04EC3DA3"/>
    <w:rsid w:val="04EE27FB"/>
    <w:rsid w:val="04F24628"/>
    <w:rsid w:val="050634BB"/>
    <w:rsid w:val="051F7A75"/>
    <w:rsid w:val="05286C93"/>
    <w:rsid w:val="05405A2B"/>
    <w:rsid w:val="0569336D"/>
    <w:rsid w:val="056B1570"/>
    <w:rsid w:val="05791EDF"/>
    <w:rsid w:val="05821D18"/>
    <w:rsid w:val="05994BA5"/>
    <w:rsid w:val="05AA653C"/>
    <w:rsid w:val="05B44CC5"/>
    <w:rsid w:val="05B747B5"/>
    <w:rsid w:val="05C52B50"/>
    <w:rsid w:val="05D21624"/>
    <w:rsid w:val="05D4629F"/>
    <w:rsid w:val="05F3515E"/>
    <w:rsid w:val="0603061C"/>
    <w:rsid w:val="062F259D"/>
    <w:rsid w:val="065614A6"/>
    <w:rsid w:val="067D3FAA"/>
    <w:rsid w:val="06AD2031"/>
    <w:rsid w:val="06BD7EC9"/>
    <w:rsid w:val="06F253F2"/>
    <w:rsid w:val="071A2658"/>
    <w:rsid w:val="07231A4A"/>
    <w:rsid w:val="07493C2F"/>
    <w:rsid w:val="075C28A3"/>
    <w:rsid w:val="076F3AC2"/>
    <w:rsid w:val="07752148"/>
    <w:rsid w:val="078523E2"/>
    <w:rsid w:val="07884DC2"/>
    <w:rsid w:val="07927288"/>
    <w:rsid w:val="07971403"/>
    <w:rsid w:val="079D41A4"/>
    <w:rsid w:val="079F3753"/>
    <w:rsid w:val="07A246EF"/>
    <w:rsid w:val="07BD69FF"/>
    <w:rsid w:val="07E36CCC"/>
    <w:rsid w:val="07E61182"/>
    <w:rsid w:val="081F00D5"/>
    <w:rsid w:val="08362206"/>
    <w:rsid w:val="0840578F"/>
    <w:rsid w:val="086D6A25"/>
    <w:rsid w:val="087E3C7F"/>
    <w:rsid w:val="08801380"/>
    <w:rsid w:val="08C571E9"/>
    <w:rsid w:val="08C83CF3"/>
    <w:rsid w:val="08E81855"/>
    <w:rsid w:val="092108C3"/>
    <w:rsid w:val="092A0515"/>
    <w:rsid w:val="09420839"/>
    <w:rsid w:val="094758C6"/>
    <w:rsid w:val="0950340E"/>
    <w:rsid w:val="095F3199"/>
    <w:rsid w:val="096A216E"/>
    <w:rsid w:val="09A454D4"/>
    <w:rsid w:val="09C07B0E"/>
    <w:rsid w:val="09E110FB"/>
    <w:rsid w:val="09EA5159"/>
    <w:rsid w:val="09EF09C1"/>
    <w:rsid w:val="09F75A39"/>
    <w:rsid w:val="0A080C44"/>
    <w:rsid w:val="0A1B1122"/>
    <w:rsid w:val="0A3E25DB"/>
    <w:rsid w:val="0A570314"/>
    <w:rsid w:val="0A626A85"/>
    <w:rsid w:val="0A7333A0"/>
    <w:rsid w:val="0A894080"/>
    <w:rsid w:val="0A8C5F5E"/>
    <w:rsid w:val="0AB37C41"/>
    <w:rsid w:val="0ACE4448"/>
    <w:rsid w:val="0ADD11E0"/>
    <w:rsid w:val="0AEE60B4"/>
    <w:rsid w:val="0B186AF0"/>
    <w:rsid w:val="0B420FC5"/>
    <w:rsid w:val="0B8B47FB"/>
    <w:rsid w:val="0BA72F03"/>
    <w:rsid w:val="0BBE064B"/>
    <w:rsid w:val="0BCF52F0"/>
    <w:rsid w:val="0BEE30CD"/>
    <w:rsid w:val="0BF17A23"/>
    <w:rsid w:val="0BF7590B"/>
    <w:rsid w:val="0C0F2856"/>
    <w:rsid w:val="0C5734B3"/>
    <w:rsid w:val="0C965124"/>
    <w:rsid w:val="0CB17E61"/>
    <w:rsid w:val="0CBE2E61"/>
    <w:rsid w:val="0D0365E6"/>
    <w:rsid w:val="0D337136"/>
    <w:rsid w:val="0D38442D"/>
    <w:rsid w:val="0D523741"/>
    <w:rsid w:val="0D624402"/>
    <w:rsid w:val="0D8B6C53"/>
    <w:rsid w:val="0DA52143"/>
    <w:rsid w:val="0DB01F82"/>
    <w:rsid w:val="0DE8405A"/>
    <w:rsid w:val="0DE85960"/>
    <w:rsid w:val="0DFD0FF8"/>
    <w:rsid w:val="0E05748E"/>
    <w:rsid w:val="0E14123E"/>
    <w:rsid w:val="0E19612F"/>
    <w:rsid w:val="0E205AB9"/>
    <w:rsid w:val="0E2367CE"/>
    <w:rsid w:val="0E3E08ED"/>
    <w:rsid w:val="0E555174"/>
    <w:rsid w:val="0E76345F"/>
    <w:rsid w:val="0E9534FA"/>
    <w:rsid w:val="0EC266A4"/>
    <w:rsid w:val="0EE7435D"/>
    <w:rsid w:val="0EF21695"/>
    <w:rsid w:val="0F1A3C19"/>
    <w:rsid w:val="0F3D2A0E"/>
    <w:rsid w:val="0F4223B8"/>
    <w:rsid w:val="0F787370"/>
    <w:rsid w:val="0FA22032"/>
    <w:rsid w:val="0FAE4E7B"/>
    <w:rsid w:val="0FC1695C"/>
    <w:rsid w:val="0FE20680"/>
    <w:rsid w:val="0FE51F22"/>
    <w:rsid w:val="0FF705D0"/>
    <w:rsid w:val="101007E8"/>
    <w:rsid w:val="10223F85"/>
    <w:rsid w:val="10354C54"/>
    <w:rsid w:val="10484987"/>
    <w:rsid w:val="104D6442"/>
    <w:rsid w:val="10654E82"/>
    <w:rsid w:val="106C1C45"/>
    <w:rsid w:val="108A0F77"/>
    <w:rsid w:val="108A1444"/>
    <w:rsid w:val="10A61FE0"/>
    <w:rsid w:val="10A96350"/>
    <w:rsid w:val="10CF7921"/>
    <w:rsid w:val="10E81EF1"/>
    <w:rsid w:val="10F26BDC"/>
    <w:rsid w:val="11051FFA"/>
    <w:rsid w:val="11450E05"/>
    <w:rsid w:val="1168209E"/>
    <w:rsid w:val="117B33B0"/>
    <w:rsid w:val="11A04D7E"/>
    <w:rsid w:val="11A342F9"/>
    <w:rsid w:val="11C87BEB"/>
    <w:rsid w:val="11F32AD7"/>
    <w:rsid w:val="11FC3C7B"/>
    <w:rsid w:val="11FF551A"/>
    <w:rsid w:val="123258EF"/>
    <w:rsid w:val="123D337B"/>
    <w:rsid w:val="127C4DBC"/>
    <w:rsid w:val="12B6162E"/>
    <w:rsid w:val="12CF28EA"/>
    <w:rsid w:val="12D931F9"/>
    <w:rsid w:val="12DC3AAD"/>
    <w:rsid w:val="12F1026D"/>
    <w:rsid w:val="12F71682"/>
    <w:rsid w:val="13031039"/>
    <w:rsid w:val="13083D49"/>
    <w:rsid w:val="13404AC9"/>
    <w:rsid w:val="134770B1"/>
    <w:rsid w:val="134F427F"/>
    <w:rsid w:val="13500532"/>
    <w:rsid w:val="135463C6"/>
    <w:rsid w:val="13615E26"/>
    <w:rsid w:val="136278DA"/>
    <w:rsid w:val="136F49F2"/>
    <w:rsid w:val="13B32A60"/>
    <w:rsid w:val="13DE7224"/>
    <w:rsid w:val="13E57CC1"/>
    <w:rsid w:val="13EB1DBD"/>
    <w:rsid w:val="13FA068E"/>
    <w:rsid w:val="1404150D"/>
    <w:rsid w:val="14154C79"/>
    <w:rsid w:val="14504752"/>
    <w:rsid w:val="147F7284"/>
    <w:rsid w:val="14891A12"/>
    <w:rsid w:val="14B166C3"/>
    <w:rsid w:val="14C440FB"/>
    <w:rsid w:val="14CC26C2"/>
    <w:rsid w:val="14D56A06"/>
    <w:rsid w:val="14F8708F"/>
    <w:rsid w:val="15166027"/>
    <w:rsid w:val="153E27FD"/>
    <w:rsid w:val="15456B76"/>
    <w:rsid w:val="15491CF9"/>
    <w:rsid w:val="156C2EC6"/>
    <w:rsid w:val="157902CA"/>
    <w:rsid w:val="1579415B"/>
    <w:rsid w:val="1597787A"/>
    <w:rsid w:val="15CE1DD3"/>
    <w:rsid w:val="15DA15E8"/>
    <w:rsid w:val="15E52C78"/>
    <w:rsid w:val="15F66C34"/>
    <w:rsid w:val="16092E0B"/>
    <w:rsid w:val="16094BB9"/>
    <w:rsid w:val="16104199"/>
    <w:rsid w:val="16124FC5"/>
    <w:rsid w:val="1638549E"/>
    <w:rsid w:val="163A3B76"/>
    <w:rsid w:val="167A4C74"/>
    <w:rsid w:val="16892307"/>
    <w:rsid w:val="168C6E8D"/>
    <w:rsid w:val="16912AFA"/>
    <w:rsid w:val="1698520B"/>
    <w:rsid w:val="16A135AF"/>
    <w:rsid w:val="16C46FE7"/>
    <w:rsid w:val="16F72C63"/>
    <w:rsid w:val="16F72CB9"/>
    <w:rsid w:val="17004A3B"/>
    <w:rsid w:val="17057572"/>
    <w:rsid w:val="17127A9D"/>
    <w:rsid w:val="172F215D"/>
    <w:rsid w:val="17361868"/>
    <w:rsid w:val="17397F7C"/>
    <w:rsid w:val="17677C2F"/>
    <w:rsid w:val="17824C23"/>
    <w:rsid w:val="17A0779F"/>
    <w:rsid w:val="17A82ADD"/>
    <w:rsid w:val="17AF79E2"/>
    <w:rsid w:val="17D15BAA"/>
    <w:rsid w:val="17D42FA4"/>
    <w:rsid w:val="17E06483"/>
    <w:rsid w:val="17FA6EAF"/>
    <w:rsid w:val="17FE0021"/>
    <w:rsid w:val="180F222F"/>
    <w:rsid w:val="18186614"/>
    <w:rsid w:val="182014A2"/>
    <w:rsid w:val="18640C92"/>
    <w:rsid w:val="18725A29"/>
    <w:rsid w:val="187D363C"/>
    <w:rsid w:val="18AB1F57"/>
    <w:rsid w:val="18EB67F8"/>
    <w:rsid w:val="18EE0BF6"/>
    <w:rsid w:val="191120AF"/>
    <w:rsid w:val="192148C8"/>
    <w:rsid w:val="19436102"/>
    <w:rsid w:val="19641220"/>
    <w:rsid w:val="19744352"/>
    <w:rsid w:val="197762DD"/>
    <w:rsid w:val="199926F8"/>
    <w:rsid w:val="19AA0461"/>
    <w:rsid w:val="19D13C3F"/>
    <w:rsid w:val="19D465D8"/>
    <w:rsid w:val="19EF056A"/>
    <w:rsid w:val="1A1656B7"/>
    <w:rsid w:val="1A622AE9"/>
    <w:rsid w:val="1A6E456A"/>
    <w:rsid w:val="1A6F1FEC"/>
    <w:rsid w:val="1A8B0292"/>
    <w:rsid w:val="1A9D7FC6"/>
    <w:rsid w:val="1AB10E35"/>
    <w:rsid w:val="1AD25D07"/>
    <w:rsid w:val="1AFD0956"/>
    <w:rsid w:val="1B0D514B"/>
    <w:rsid w:val="1B0E62FA"/>
    <w:rsid w:val="1B1A4683"/>
    <w:rsid w:val="1B2F50C2"/>
    <w:rsid w:val="1B3F107D"/>
    <w:rsid w:val="1B754A9E"/>
    <w:rsid w:val="1BA323E9"/>
    <w:rsid w:val="1BD50639"/>
    <w:rsid w:val="1C0A1CD9"/>
    <w:rsid w:val="1C0E109C"/>
    <w:rsid w:val="1C286DBE"/>
    <w:rsid w:val="1C2964B8"/>
    <w:rsid w:val="1C441FDC"/>
    <w:rsid w:val="1C4B4348"/>
    <w:rsid w:val="1C4F0594"/>
    <w:rsid w:val="1C5648D0"/>
    <w:rsid w:val="1C6012AB"/>
    <w:rsid w:val="1C744D56"/>
    <w:rsid w:val="1C8B27CB"/>
    <w:rsid w:val="1C905296"/>
    <w:rsid w:val="1CC86A84"/>
    <w:rsid w:val="1CDD6B7B"/>
    <w:rsid w:val="1CE35E40"/>
    <w:rsid w:val="1CF111F1"/>
    <w:rsid w:val="1CFA7A77"/>
    <w:rsid w:val="1D085BCA"/>
    <w:rsid w:val="1D0F718B"/>
    <w:rsid w:val="1D424FFC"/>
    <w:rsid w:val="1D5A3F4C"/>
    <w:rsid w:val="1D6B3F53"/>
    <w:rsid w:val="1DA87555"/>
    <w:rsid w:val="1DBF3E23"/>
    <w:rsid w:val="1E150B68"/>
    <w:rsid w:val="1E3D0A28"/>
    <w:rsid w:val="1E5A5DD9"/>
    <w:rsid w:val="1E757C88"/>
    <w:rsid w:val="1E8A742D"/>
    <w:rsid w:val="1E8F7C25"/>
    <w:rsid w:val="1E9D4401"/>
    <w:rsid w:val="1EA47B74"/>
    <w:rsid w:val="1EBB6C6C"/>
    <w:rsid w:val="1ECE074D"/>
    <w:rsid w:val="1ED146E2"/>
    <w:rsid w:val="1EE943C4"/>
    <w:rsid w:val="1EF06916"/>
    <w:rsid w:val="1F022D6F"/>
    <w:rsid w:val="1F111D05"/>
    <w:rsid w:val="1F13300A"/>
    <w:rsid w:val="1F454ADD"/>
    <w:rsid w:val="1F9B1C69"/>
    <w:rsid w:val="1FA2402F"/>
    <w:rsid w:val="1FAA6A00"/>
    <w:rsid w:val="1FC26629"/>
    <w:rsid w:val="1FCD30FB"/>
    <w:rsid w:val="1FF07174"/>
    <w:rsid w:val="1FF73CD4"/>
    <w:rsid w:val="203C17F2"/>
    <w:rsid w:val="208055A6"/>
    <w:rsid w:val="20820C62"/>
    <w:rsid w:val="209D511C"/>
    <w:rsid w:val="20A06E49"/>
    <w:rsid w:val="20A21196"/>
    <w:rsid w:val="20C04A0E"/>
    <w:rsid w:val="20CE4173"/>
    <w:rsid w:val="20D970F2"/>
    <w:rsid w:val="20EA3839"/>
    <w:rsid w:val="20EC135F"/>
    <w:rsid w:val="20F95428"/>
    <w:rsid w:val="21044E6C"/>
    <w:rsid w:val="210B3EDB"/>
    <w:rsid w:val="211B33DF"/>
    <w:rsid w:val="215A0945"/>
    <w:rsid w:val="21911C56"/>
    <w:rsid w:val="21931DA4"/>
    <w:rsid w:val="2199566E"/>
    <w:rsid w:val="21B420FA"/>
    <w:rsid w:val="21BF3EED"/>
    <w:rsid w:val="21C9227E"/>
    <w:rsid w:val="21D07DDA"/>
    <w:rsid w:val="22282297"/>
    <w:rsid w:val="224F46D5"/>
    <w:rsid w:val="227B31BE"/>
    <w:rsid w:val="228A52D3"/>
    <w:rsid w:val="228E546E"/>
    <w:rsid w:val="22B50492"/>
    <w:rsid w:val="230C7214"/>
    <w:rsid w:val="230E6A26"/>
    <w:rsid w:val="235B7191"/>
    <w:rsid w:val="236250F2"/>
    <w:rsid w:val="237C2E6E"/>
    <w:rsid w:val="238A758A"/>
    <w:rsid w:val="23A01FB6"/>
    <w:rsid w:val="23A11E84"/>
    <w:rsid w:val="23C41A81"/>
    <w:rsid w:val="2401791F"/>
    <w:rsid w:val="24247062"/>
    <w:rsid w:val="247B4ED4"/>
    <w:rsid w:val="247E49C4"/>
    <w:rsid w:val="249E6E14"/>
    <w:rsid w:val="24A2770B"/>
    <w:rsid w:val="24D34421"/>
    <w:rsid w:val="24E901BD"/>
    <w:rsid w:val="2510555E"/>
    <w:rsid w:val="25164BFC"/>
    <w:rsid w:val="253E2BAA"/>
    <w:rsid w:val="25431230"/>
    <w:rsid w:val="25480F3B"/>
    <w:rsid w:val="2559658F"/>
    <w:rsid w:val="255D4DBB"/>
    <w:rsid w:val="255E2174"/>
    <w:rsid w:val="25652A69"/>
    <w:rsid w:val="256F255E"/>
    <w:rsid w:val="25742CC5"/>
    <w:rsid w:val="258C0D59"/>
    <w:rsid w:val="25A95711"/>
    <w:rsid w:val="25EA5EF1"/>
    <w:rsid w:val="25FD1982"/>
    <w:rsid w:val="264F0468"/>
    <w:rsid w:val="265E11E3"/>
    <w:rsid w:val="266B0F78"/>
    <w:rsid w:val="26720558"/>
    <w:rsid w:val="26971637"/>
    <w:rsid w:val="269C6008"/>
    <w:rsid w:val="26B3018D"/>
    <w:rsid w:val="26CE45BA"/>
    <w:rsid w:val="270F224B"/>
    <w:rsid w:val="270F5023"/>
    <w:rsid w:val="27264C48"/>
    <w:rsid w:val="27364EE3"/>
    <w:rsid w:val="27557CEA"/>
    <w:rsid w:val="276B7574"/>
    <w:rsid w:val="2778394C"/>
    <w:rsid w:val="278A3680"/>
    <w:rsid w:val="278E3901"/>
    <w:rsid w:val="279B6677"/>
    <w:rsid w:val="27AC2923"/>
    <w:rsid w:val="27AC7A9A"/>
    <w:rsid w:val="27F21951"/>
    <w:rsid w:val="2817296E"/>
    <w:rsid w:val="28257458"/>
    <w:rsid w:val="2826784C"/>
    <w:rsid w:val="282F2EFC"/>
    <w:rsid w:val="286E2865"/>
    <w:rsid w:val="287147F0"/>
    <w:rsid w:val="287A7AF8"/>
    <w:rsid w:val="287E64FF"/>
    <w:rsid w:val="28862099"/>
    <w:rsid w:val="28A075FF"/>
    <w:rsid w:val="28C055AB"/>
    <w:rsid w:val="28DF1A1B"/>
    <w:rsid w:val="28E31299"/>
    <w:rsid w:val="28F95E48"/>
    <w:rsid w:val="293272A7"/>
    <w:rsid w:val="293A4007"/>
    <w:rsid w:val="294C7E51"/>
    <w:rsid w:val="2960022A"/>
    <w:rsid w:val="296F0D7F"/>
    <w:rsid w:val="29741F0F"/>
    <w:rsid w:val="29806E71"/>
    <w:rsid w:val="29890093"/>
    <w:rsid w:val="29D31740"/>
    <w:rsid w:val="29D5322D"/>
    <w:rsid w:val="29DB3E64"/>
    <w:rsid w:val="29DD02A8"/>
    <w:rsid w:val="29E057D9"/>
    <w:rsid w:val="29E17ECF"/>
    <w:rsid w:val="2A3D2C2B"/>
    <w:rsid w:val="2A4B359A"/>
    <w:rsid w:val="2A9036A3"/>
    <w:rsid w:val="2A970D6C"/>
    <w:rsid w:val="2AAD6003"/>
    <w:rsid w:val="2AC670C5"/>
    <w:rsid w:val="2AD90BA6"/>
    <w:rsid w:val="2B172940"/>
    <w:rsid w:val="2B31489B"/>
    <w:rsid w:val="2B4A4093"/>
    <w:rsid w:val="2B4F631D"/>
    <w:rsid w:val="2B634FBD"/>
    <w:rsid w:val="2B7C68B2"/>
    <w:rsid w:val="2B824D9A"/>
    <w:rsid w:val="2B830B12"/>
    <w:rsid w:val="2B922289"/>
    <w:rsid w:val="2BA07020"/>
    <w:rsid w:val="2BAA0794"/>
    <w:rsid w:val="2BB920B8"/>
    <w:rsid w:val="2BBE7D9C"/>
    <w:rsid w:val="2BC01AD4"/>
    <w:rsid w:val="2BDB26FC"/>
    <w:rsid w:val="2BE617CC"/>
    <w:rsid w:val="2C022BF7"/>
    <w:rsid w:val="2C035AD9"/>
    <w:rsid w:val="2C4C35F9"/>
    <w:rsid w:val="2C5E1A2E"/>
    <w:rsid w:val="2C7C3EDF"/>
    <w:rsid w:val="2C985819"/>
    <w:rsid w:val="2CA5304B"/>
    <w:rsid w:val="2CDA585C"/>
    <w:rsid w:val="2CE33F5E"/>
    <w:rsid w:val="2CF03F85"/>
    <w:rsid w:val="2CF369CD"/>
    <w:rsid w:val="2CF9108B"/>
    <w:rsid w:val="2CF9552F"/>
    <w:rsid w:val="2D0F2A21"/>
    <w:rsid w:val="2D155828"/>
    <w:rsid w:val="2D256324"/>
    <w:rsid w:val="2D2C202A"/>
    <w:rsid w:val="2D586372"/>
    <w:rsid w:val="2D593A83"/>
    <w:rsid w:val="2D915768"/>
    <w:rsid w:val="2D9B00E0"/>
    <w:rsid w:val="2D9B2143"/>
    <w:rsid w:val="2DB04802"/>
    <w:rsid w:val="2DB23588"/>
    <w:rsid w:val="2DE232B1"/>
    <w:rsid w:val="2E1078B5"/>
    <w:rsid w:val="2E14437E"/>
    <w:rsid w:val="2E233F5A"/>
    <w:rsid w:val="2E40086E"/>
    <w:rsid w:val="2E4F2F2D"/>
    <w:rsid w:val="2E545310"/>
    <w:rsid w:val="2E556795"/>
    <w:rsid w:val="2E5F13C2"/>
    <w:rsid w:val="2E6E0F52"/>
    <w:rsid w:val="2E7C0A53"/>
    <w:rsid w:val="2E9F5022"/>
    <w:rsid w:val="2EE5243E"/>
    <w:rsid w:val="2EE61AE3"/>
    <w:rsid w:val="2EE707BE"/>
    <w:rsid w:val="2F02092C"/>
    <w:rsid w:val="2F153492"/>
    <w:rsid w:val="2F172E4F"/>
    <w:rsid w:val="2F293D4B"/>
    <w:rsid w:val="2F55602A"/>
    <w:rsid w:val="2F675649"/>
    <w:rsid w:val="2F7B2B74"/>
    <w:rsid w:val="2F8F5CD7"/>
    <w:rsid w:val="2F9A7BA6"/>
    <w:rsid w:val="2FD31004"/>
    <w:rsid w:val="2FE57FED"/>
    <w:rsid w:val="2FED29FE"/>
    <w:rsid w:val="2FF65D56"/>
    <w:rsid w:val="301E4FFC"/>
    <w:rsid w:val="3092233C"/>
    <w:rsid w:val="30B661C3"/>
    <w:rsid w:val="30CC005A"/>
    <w:rsid w:val="30DF779A"/>
    <w:rsid w:val="30E91417"/>
    <w:rsid w:val="31037178"/>
    <w:rsid w:val="310F3573"/>
    <w:rsid w:val="311C22A0"/>
    <w:rsid w:val="312B0B67"/>
    <w:rsid w:val="312D7FBC"/>
    <w:rsid w:val="31331EC5"/>
    <w:rsid w:val="313844C5"/>
    <w:rsid w:val="3155493C"/>
    <w:rsid w:val="319B23BD"/>
    <w:rsid w:val="31BA5621"/>
    <w:rsid w:val="31BD65A6"/>
    <w:rsid w:val="31C6519A"/>
    <w:rsid w:val="31D64091"/>
    <w:rsid w:val="31EF1CB4"/>
    <w:rsid w:val="31F167D5"/>
    <w:rsid w:val="320329AC"/>
    <w:rsid w:val="321005AF"/>
    <w:rsid w:val="3220530C"/>
    <w:rsid w:val="32697D44"/>
    <w:rsid w:val="327F533D"/>
    <w:rsid w:val="329F6B99"/>
    <w:rsid w:val="32A1591F"/>
    <w:rsid w:val="32A73FA5"/>
    <w:rsid w:val="32C64EF0"/>
    <w:rsid w:val="32D23EF0"/>
    <w:rsid w:val="32F42CD7"/>
    <w:rsid w:val="330B754D"/>
    <w:rsid w:val="332C1A8F"/>
    <w:rsid w:val="33386686"/>
    <w:rsid w:val="335C05C6"/>
    <w:rsid w:val="336A02C6"/>
    <w:rsid w:val="337D5C7A"/>
    <w:rsid w:val="3381627F"/>
    <w:rsid w:val="33933FAE"/>
    <w:rsid w:val="33A22F43"/>
    <w:rsid w:val="33C521FE"/>
    <w:rsid w:val="33F971D5"/>
    <w:rsid w:val="34052A0C"/>
    <w:rsid w:val="34091AB7"/>
    <w:rsid w:val="34153282"/>
    <w:rsid w:val="34270BD4"/>
    <w:rsid w:val="342E2B27"/>
    <w:rsid w:val="345012DE"/>
    <w:rsid w:val="34800479"/>
    <w:rsid w:val="34C36DC9"/>
    <w:rsid w:val="34FB5395"/>
    <w:rsid w:val="351B39F4"/>
    <w:rsid w:val="354B449E"/>
    <w:rsid w:val="35592615"/>
    <w:rsid w:val="35663770"/>
    <w:rsid w:val="35690D78"/>
    <w:rsid w:val="35AB1391"/>
    <w:rsid w:val="35B93AAE"/>
    <w:rsid w:val="35D42696"/>
    <w:rsid w:val="35EA4102"/>
    <w:rsid w:val="35F20D6E"/>
    <w:rsid w:val="3611037B"/>
    <w:rsid w:val="361B63CE"/>
    <w:rsid w:val="361D7DD4"/>
    <w:rsid w:val="363E2205"/>
    <w:rsid w:val="364E1BAB"/>
    <w:rsid w:val="36744066"/>
    <w:rsid w:val="368D4E24"/>
    <w:rsid w:val="36932CB4"/>
    <w:rsid w:val="369812C8"/>
    <w:rsid w:val="36C307DD"/>
    <w:rsid w:val="36CD05C3"/>
    <w:rsid w:val="36CF10AF"/>
    <w:rsid w:val="36DD37CC"/>
    <w:rsid w:val="36FA25D0"/>
    <w:rsid w:val="370029C1"/>
    <w:rsid w:val="37032650"/>
    <w:rsid w:val="370A417C"/>
    <w:rsid w:val="37134E69"/>
    <w:rsid w:val="37173DBA"/>
    <w:rsid w:val="372F0F16"/>
    <w:rsid w:val="373D4822"/>
    <w:rsid w:val="374B70B9"/>
    <w:rsid w:val="376F7781"/>
    <w:rsid w:val="377F0D27"/>
    <w:rsid w:val="379E634E"/>
    <w:rsid w:val="37A3652C"/>
    <w:rsid w:val="37AD49B3"/>
    <w:rsid w:val="37B05FEC"/>
    <w:rsid w:val="37B409D1"/>
    <w:rsid w:val="37BF2ED1"/>
    <w:rsid w:val="37D44779"/>
    <w:rsid w:val="37DC3A83"/>
    <w:rsid w:val="37DE4F11"/>
    <w:rsid w:val="37FD2868"/>
    <w:rsid w:val="380D1396"/>
    <w:rsid w:val="380F3226"/>
    <w:rsid w:val="382501A9"/>
    <w:rsid w:val="38284F1B"/>
    <w:rsid w:val="38592927"/>
    <w:rsid w:val="387F1F7F"/>
    <w:rsid w:val="38B13162"/>
    <w:rsid w:val="38E73AEB"/>
    <w:rsid w:val="38EE1CC0"/>
    <w:rsid w:val="390C0398"/>
    <w:rsid w:val="39225E0E"/>
    <w:rsid w:val="392513D1"/>
    <w:rsid w:val="394E45BA"/>
    <w:rsid w:val="395A05A6"/>
    <w:rsid w:val="395E6FAD"/>
    <w:rsid w:val="399236F3"/>
    <w:rsid w:val="399D4513"/>
    <w:rsid w:val="39D76BE6"/>
    <w:rsid w:val="39FE6173"/>
    <w:rsid w:val="3A21256E"/>
    <w:rsid w:val="3A32213B"/>
    <w:rsid w:val="3A386910"/>
    <w:rsid w:val="3A422AA2"/>
    <w:rsid w:val="3A445910"/>
    <w:rsid w:val="3A5C1F32"/>
    <w:rsid w:val="3AAC6C09"/>
    <w:rsid w:val="3AAF1923"/>
    <w:rsid w:val="3AD969A0"/>
    <w:rsid w:val="3AF33DEC"/>
    <w:rsid w:val="3AF47336"/>
    <w:rsid w:val="3AF805AF"/>
    <w:rsid w:val="3B0622DF"/>
    <w:rsid w:val="3B1A2DE0"/>
    <w:rsid w:val="3B2B7D1C"/>
    <w:rsid w:val="3B3E4793"/>
    <w:rsid w:val="3B5200DE"/>
    <w:rsid w:val="3B6E698C"/>
    <w:rsid w:val="3BAA45F3"/>
    <w:rsid w:val="3BB06FE5"/>
    <w:rsid w:val="3BC850D1"/>
    <w:rsid w:val="3BCC25A9"/>
    <w:rsid w:val="3BF03FA1"/>
    <w:rsid w:val="3BFE6FA3"/>
    <w:rsid w:val="3C352ED2"/>
    <w:rsid w:val="3C425A6B"/>
    <w:rsid w:val="3C6C2C0E"/>
    <w:rsid w:val="3C796360"/>
    <w:rsid w:val="3C91526B"/>
    <w:rsid w:val="3CAA4196"/>
    <w:rsid w:val="3CAD2D99"/>
    <w:rsid w:val="3CB21EEE"/>
    <w:rsid w:val="3CB72D11"/>
    <w:rsid w:val="3CE61B74"/>
    <w:rsid w:val="3D0C0065"/>
    <w:rsid w:val="3D153845"/>
    <w:rsid w:val="3D1D0C51"/>
    <w:rsid w:val="3D3954D4"/>
    <w:rsid w:val="3D3E4A09"/>
    <w:rsid w:val="3D49542E"/>
    <w:rsid w:val="3D4D7222"/>
    <w:rsid w:val="3D57125C"/>
    <w:rsid w:val="3D580050"/>
    <w:rsid w:val="3D616DDC"/>
    <w:rsid w:val="3D965098"/>
    <w:rsid w:val="3D9D1F07"/>
    <w:rsid w:val="3DD34EFD"/>
    <w:rsid w:val="3DEC0025"/>
    <w:rsid w:val="3DFC4E7F"/>
    <w:rsid w:val="3E3826A3"/>
    <w:rsid w:val="3E587BDC"/>
    <w:rsid w:val="3E800899"/>
    <w:rsid w:val="3EB5502E"/>
    <w:rsid w:val="3ED1739E"/>
    <w:rsid w:val="3EE33860"/>
    <w:rsid w:val="3F057768"/>
    <w:rsid w:val="3F177A97"/>
    <w:rsid w:val="3F1C6199"/>
    <w:rsid w:val="3F324858"/>
    <w:rsid w:val="3F4168C2"/>
    <w:rsid w:val="3F513170"/>
    <w:rsid w:val="3F636838"/>
    <w:rsid w:val="3F6902F3"/>
    <w:rsid w:val="3F8658C8"/>
    <w:rsid w:val="3FAA1280"/>
    <w:rsid w:val="3FB57611"/>
    <w:rsid w:val="3FC14728"/>
    <w:rsid w:val="40020F51"/>
    <w:rsid w:val="40372168"/>
    <w:rsid w:val="403F1053"/>
    <w:rsid w:val="405A5E8D"/>
    <w:rsid w:val="40D45C40"/>
    <w:rsid w:val="412F2700"/>
    <w:rsid w:val="413D1E3C"/>
    <w:rsid w:val="41526080"/>
    <w:rsid w:val="41527B67"/>
    <w:rsid w:val="417E204F"/>
    <w:rsid w:val="41AF06D0"/>
    <w:rsid w:val="41BD0482"/>
    <w:rsid w:val="42042CD7"/>
    <w:rsid w:val="421922FE"/>
    <w:rsid w:val="423229B8"/>
    <w:rsid w:val="42330CA9"/>
    <w:rsid w:val="423D7815"/>
    <w:rsid w:val="424E37D0"/>
    <w:rsid w:val="42755200"/>
    <w:rsid w:val="428D254A"/>
    <w:rsid w:val="42AD1949"/>
    <w:rsid w:val="42BA3A54"/>
    <w:rsid w:val="42C61D0A"/>
    <w:rsid w:val="430C640E"/>
    <w:rsid w:val="43236033"/>
    <w:rsid w:val="43607C5E"/>
    <w:rsid w:val="437F5C7F"/>
    <w:rsid w:val="438B2560"/>
    <w:rsid w:val="43BB74AB"/>
    <w:rsid w:val="43D146B8"/>
    <w:rsid w:val="43D638D9"/>
    <w:rsid w:val="4407632C"/>
    <w:rsid w:val="440D1834"/>
    <w:rsid w:val="44584E18"/>
    <w:rsid w:val="44A65701"/>
    <w:rsid w:val="44BB3C28"/>
    <w:rsid w:val="44CF7374"/>
    <w:rsid w:val="44D37FBC"/>
    <w:rsid w:val="44D42A00"/>
    <w:rsid w:val="44E32791"/>
    <w:rsid w:val="44F901B8"/>
    <w:rsid w:val="44FB7E38"/>
    <w:rsid w:val="450155C4"/>
    <w:rsid w:val="4504461A"/>
    <w:rsid w:val="45356EC9"/>
    <w:rsid w:val="45574CCE"/>
    <w:rsid w:val="456B28EB"/>
    <w:rsid w:val="45704D92"/>
    <w:rsid w:val="45803914"/>
    <w:rsid w:val="458A7AA7"/>
    <w:rsid w:val="45A87057"/>
    <w:rsid w:val="45C06924"/>
    <w:rsid w:val="45CA720B"/>
    <w:rsid w:val="45D61170"/>
    <w:rsid w:val="45D87F80"/>
    <w:rsid w:val="45DB537A"/>
    <w:rsid w:val="45F60406"/>
    <w:rsid w:val="462640A2"/>
    <w:rsid w:val="46354182"/>
    <w:rsid w:val="463B1C89"/>
    <w:rsid w:val="464239D2"/>
    <w:rsid w:val="467950A6"/>
    <w:rsid w:val="467A73AF"/>
    <w:rsid w:val="46A23DFB"/>
    <w:rsid w:val="46ED18ED"/>
    <w:rsid w:val="470B0572"/>
    <w:rsid w:val="470F29F7"/>
    <w:rsid w:val="471E7EBD"/>
    <w:rsid w:val="472268C3"/>
    <w:rsid w:val="473345DF"/>
    <w:rsid w:val="47372A84"/>
    <w:rsid w:val="474E2C0B"/>
    <w:rsid w:val="4780267D"/>
    <w:rsid w:val="47AA76FA"/>
    <w:rsid w:val="47B34B2D"/>
    <w:rsid w:val="47D12ED9"/>
    <w:rsid w:val="47E04ECA"/>
    <w:rsid w:val="48180BFD"/>
    <w:rsid w:val="483D003A"/>
    <w:rsid w:val="48481CCB"/>
    <w:rsid w:val="48537D92"/>
    <w:rsid w:val="487815A6"/>
    <w:rsid w:val="488D7D14"/>
    <w:rsid w:val="489130C1"/>
    <w:rsid w:val="48934632"/>
    <w:rsid w:val="48C0506B"/>
    <w:rsid w:val="48D934F2"/>
    <w:rsid w:val="48DC1118"/>
    <w:rsid w:val="48DE24EA"/>
    <w:rsid w:val="48E76142"/>
    <w:rsid w:val="48ED35B0"/>
    <w:rsid w:val="48EF6340"/>
    <w:rsid w:val="48FF73B2"/>
    <w:rsid w:val="490E1B62"/>
    <w:rsid w:val="491C07E4"/>
    <w:rsid w:val="496569C4"/>
    <w:rsid w:val="49747FC0"/>
    <w:rsid w:val="499524F4"/>
    <w:rsid w:val="499E328F"/>
    <w:rsid w:val="49C32CF5"/>
    <w:rsid w:val="49C84218"/>
    <w:rsid w:val="49D942C7"/>
    <w:rsid w:val="49F75FC1"/>
    <w:rsid w:val="49FF7F76"/>
    <w:rsid w:val="4A4831FA"/>
    <w:rsid w:val="4A4C47F2"/>
    <w:rsid w:val="4A610F14"/>
    <w:rsid w:val="4A8204BA"/>
    <w:rsid w:val="4A8423CD"/>
    <w:rsid w:val="4A963F66"/>
    <w:rsid w:val="4ACE4B79"/>
    <w:rsid w:val="4AE65456"/>
    <w:rsid w:val="4AF513C6"/>
    <w:rsid w:val="4B2444D5"/>
    <w:rsid w:val="4B2C16C2"/>
    <w:rsid w:val="4B382D7E"/>
    <w:rsid w:val="4B46491F"/>
    <w:rsid w:val="4B50661E"/>
    <w:rsid w:val="4B771FE9"/>
    <w:rsid w:val="4B7E450B"/>
    <w:rsid w:val="4BB74194"/>
    <w:rsid w:val="4BE652AE"/>
    <w:rsid w:val="4BF87D30"/>
    <w:rsid w:val="4C0009C0"/>
    <w:rsid w:val="4C0A69B9"/>
    <w:rsid w:val="4C2D2C2B"/>
    <w:rsid w:val="4C3063C3"/>
    <w:rsid w:val="4C3A401D"/>
    <w:rsid w:val="4C402580"/>
    <w:rsid w:val="4C444034"/>
    <w:rsid w:val="4C476633"/>
    <w:rsid w:val="4C5B1FD3"/>
    <w:rsid w:val="4C647116"/>
    <w:rsid w:val="4C942727"/>
    <w:rsid w:val="4C9F17C3"/>
    <w:rsid w:val="4CA87BA5"/>
    <w:rsid w:val="4CD20886"/>
    <w:rsid w:val="4CEC2563"/>
    <w:rsid w:val="4CEE1E37"/>
    <w:rsid w:val="4CF65190"/>
    <w:rsid w:val="4D044D9B"/>
    <w:rsid w:val="4D172A77"/>
    <w:rsid w:val="4D1A70D0"/>
    <w:rsid w:val="4D615D46"/>
    <w:rsid w:val="4D7302FC"/>
    <w:rsid w:val="4D750521"/>
    <w:rsid w:val="4DD5225C"/>
    <w:rsid w:val="4DD87CE9"/>
    <w:rsid w:val="4DE90EB2"/>
    <w:rsid w:val="4DEB281B"/>
    <w:rsid w:val="4DED276A"/>
    <w:rsid w:val="4DFB61FC"/>
    <w:rsid w:val="4E206130"/>
    <w:rsid w:val="4E260345"/>
    <w:rsid w:val="4E772300"/>
    <w:rsid w:val="4E7C7EB6"/>
    <w:rsid w:val="4E853BE2"/>
    <w:rsid w:val="4E996FEF"/>
    <w:rsid w:val="4EA604F0"/>
    <w:rsid w:val="4EA61DB1"/>
    <w:rsid w:val="4EC314C8"/>
    <w:rsid w:val="4EED094E"/>
    <w:rsid w:val="4EF34216"/>
    <w:rsid w:val="4EFB41B1"/>
    <w:rsid w:val="4F0444B0"/>
    <w:rsid w:val="4F084791"/>
    <w:rsid w:val="4F135B85"/>
    <w:rsid w:val="4F2B08D4"/>
    <w:rsid w:val="4F442D1B"/>
    <w:rsid w:val="4F5551B4"/>
    <w:rsid w:val="4F5A4EBF"/>
    <w:rsid w:val="4F5C39D0"/>
    <w:rsid w:val="4FB43616"/>
    <w:rsid w:val="4FBA295A"/>
    <w:rsid w:val="50016951"/>
    <w:rsid w:val="501C4F0D"/>
    <w:rsid w:val="504172D2"/>
    <w:rsid w:val="50531B05"/>
    <w:rsid w:val="50552B58"/>
    <w:rsid w:val="505D37E8"/>
    <w:rsid w:val="509B0528"/>
    <w:rsid w:val="509B22D6"/>
    <w:rsid w:val="50B05655"/>
    <w:rsid w:val="50B7737A"/>
    <w:rsid w:val="50D0161F"/>
    <w:rsid w:val="50F11EF6"/>
    <w:rsid w:val="51183F1B"/>
    <w:rsid w:val="511D7541"/>
    <w:rsid w:val="512344AA"/>
    <w:rsid w:val="512D337A"/>
    <w:rsid w:val="513E4D75"/>
    <w:rsid w:val="5153676F"/>
    <w:rsid w:val="515406D7"/>
    <w:rsid w:val="516B614C"/>
    <w:rsid w:val="518965D2"/>
    <w:rsid w:val="519E7AEE"/>
    <w:rsid w:val="519F5DF6"/>
    <w:rsid w:val="51A91BF7"/>
    <w:rsid w:val="51A95A08"/>
    <w:rsid w:val="51B64EEE"/>
    <w:rsid w:val="51CF3B87"/>
    <w:rsid w:val="51D414AC"/>
    <w:rsid w:val="51DC2BA6"/>
    <w:rsid w:val="51E541F9"/>
    <w:rsid w:val="51E83B53"/>
    <w:rsid w:val="51EA6657"/>
    <w:rsid w:val="520A4423"/>
    <w:rsid w:val="520D1912"/>
    <w:rsid w:val="521A33B7"/>
    <w:rsid w:val="522C7F52"/>
    <w:rsid w:val="5241558A"/>
    <w:rsid w:val="526037D7"/>
    <w:rsid w:val="527F4BC1"/>
    <w:rsid w:val="529620AE"/>
    <w:rsid w:val="529773B9"/>
    <w:rsid w:val="52AD575C"/>
    <w:rsid w:val="52D15F58"/>
    <w:rsid w:val="532E1087"/>
    <w:rsid w:val="53310CD0"/>
    <w:rsid w:val="535A1B4B"/>
    <w:rsid w:val="536B4A2C"/>
    <w:rsid w:val="536D1B35"/>
    <w:rsid w:val="53875640"/>
    <w:rsid w:val="53B67427"/>
    <w:rsid w:val="53DE59A8"/>
    <w:rsid w:val="53EA35F1"/>
    <w:rsid w:val="53F45D6E"/>
    <w:rsid w:val="53FD045B"/>
    <w:rsid w:val="541D2F0E"/>
    <w:rsid w:val="54216091"/>
    <w:rsid w:val="54554E92"/>
    <w:rsid w:val="545B07F5"/>
    <w:rsid w:val="545E3978"/>
    <w:rsid w:val="54686973"/>
    <w:rsid w:val="54982858"/>
    <w:rsid w:val="549A0AF6"/>
    <w:rsid w:val="54B57C0A"/>
    <w:rsid w:val="54D77655"/>
    <w:rsid w:val="54D910C3"/>
    <w:rsid w:val="54E81862"/>
    <w:rsid w:val="556F5ADF"/>
    <w:rsid w:val="55791E47"/>
    <w:rsid w:val="55943798"/>
    <w:rsid w:val="55A80497"/>
    <w:rsid w:val="55AC6E9D"/>
    <w:rsid w:val="55B20855"/>
    <w:rsid w:val="55B259DD"/>
    <w:rsid w:val="55B6522E"/>
    <w:rsid w:val="55B654BC"/>
    <w:rsid w:val="55B856D8"/>
    <w:rsid w:val="55E06308"/>
    <w:rsid w:val="55E524FA"/>
    <w:rsid w:val="55E71B19"/>
    <w:rsid w:val="55F66018"/>
    <w:rsid w:val="55F85AD5"/>
    <w:rsid w:val="56160ACB"/>
    <w:rsid w:val="561623FF"/>
    <w:rsid w:val="563A433F"/>
    <w:rsid w:val="563C6FFE"/>
    <w:rsid w:val="563D098A"/>
    <w:rsid w:val="56405192"/>
    <w:rsid w:val="56614AD1"/>
    <w:rsid w:val="566234A9"/>
    <w:rsid w:val="56690BF1"/>
    <w:rsid w:val="567233E3"/>
    <w:rsid w:val="567C3CF2"/>
    <w:rsid w:val="56921A85"/>
    <w:rsid w:val="569D0D66"/>
    <w:rsid w:val="56A47A0A"/>
    <w:rsid w:val="56A838BD"/>
    <w:rsid w:val="56A874FB"/>
    <w:rsid w:val="56B70B57"/>
    <w:rsid w:val="56C86370"/>
    <w:rsid w:val="56CB31E9"/>
    <w:rsid w:val="56E33C3D"/>
    <w:rsid w:val="56E7796C"/>
    <w:rsid w:val="57212E09"/>
    <w:rsid w:val="574A6752"/>
    <w:rsid w:val="576C23D2"/>
    <w:rsid w:val="577E4471"/>
    <w:rsid w:val="57936D3D"/>
    <w:rsid w:val="579637F7"/>
    <w:rsid w:val="57A005D2"/>
    <w:rsid w:val="57D83E10"/>
    <w:rsid w:val="57F8741D"/>
    <w:rsid w:val="584170F0"/>
    <w:rsid w:val="584F2358"/>
    <w:rsid w:val="585948AA"/>
    <w:rsid w:val="585F1909"/>
    <w:rsid w:val="58605F9D"/>
    <w:rsid w:val="58876D83"/>
    <w:rsid w:val="588B2C30"/>
    <w:rsid w:val="58D4514B"/>
    <w:rsid w:val="58FA1B08"/>
    <w:rsid w:val="59047E99"/>
    <w:rsid w:val="5908391E"/>
    <w:rsid w:val="591E0A43"/>
    <w:rsid w:val="5923730C"/>
    <w:rsid w:val="59417CFE"/>
    <w:rsid w:val="59451E18"/>
    <w:rsid w:val="59594ADC"/>
    <w:rsid w:val="59694F8E"/>
    <w:rsid w:val="597A2F72"/>
    <w:rsid w:val="59A30C9C"/>
    <w:rsid w:val="5A0743C0"/>
    <w:rsid w:val="5A093EC3"/>
    <w:rsid w:val="5A0A0D5C"/>
    <w:rsid w:val="5A355549"/>
    <w:rsid w:val="5A3A61E0"/>
    <w:rsid w:val="5A4E6BB6"/>
    <w:rsid w:val="5A5874C6"/>
    <w:rsid w:val="5A603305"/>
    <w:rsid w:val="5A6E746B"/>
    <w:rsid w:val="5AB04A47"/>
    <w:rsid w:val="5AB92234"/>
    <w:rsid w:val="5B122177"/>
    <w:rsid w:val="5B486DCE"/>
    <w:rsid w:val="5B607CF8"/>
    <w:rsid w:val="5B792375"/>
    <w:rsid w:val="5B914A01"/>
    <w:rsid w:val="5B9D699E"/>
    <w:rsid w:val="5BAA6E73"/>
    <w:rsid w:val="5BD347B4"/>
    <w:rsid w:val="5BEC60DC"/>
    <w:rsid w:val="5C320050"/>
    <w:rsid w:val="5C3C776E"/>
    <w:rsid w:val="5C7E26CE"/>
    <w:rsid w:val="5CC93E70"/>
    <w:rsid w:val="5CCE57E1"/>
    <w:rsid w:val="5D0955EB"/>
    <w:rsid w:val="5D0D455B"/>
    <w:rsid w:val="5D1F14F3"/>
    <w:rsid w:val="5D7B386B"/>
    <w:rsid w:val="5D826A79"/>
    <w:rsid w:val="5D8F564B"/>
    <w:rsid w:val="5DC866D4"/>
    <w:rsid w:val="5DD46E27"/>
    <w:rsid w:val="5DE66B5A"/>
    <w:rsid w:val="5DED6128"/>
    <w:rsid w:val="5DF24C12"/>
    <w:rsid w:val="5E130566"/>
    <w:rsid w:val="5E1849EE"/>
    <w:rsid w:val="5E1E4546"/>
    <w:rsid w:val="5E2D6537"/>
    <w:rsid w:val="5E65126A"/>
    <w:rsid w:val="5E766130"/>
    <w:rsid w:val="5E7A6BA0"/>
    <w:rsid w:val="5E9810F3"/>
    <w:rsid w:val="5E9B7FD6"/>
    <w:rsid w:val="5EBA601D"/>
    <w:rsid w:val="5EC32908"/>
    <w:rsid w:val="5EED19E5"/>
    <w:rsid w:val="5F073334"/>
    <w:rsid w:val="5F276574"/>
    <w:rsid w:val="5F2B7C2E"/>
    <w:rsid w:val="5F4104EC"/>
    <w:rsid w:val="5F7640A1"/>
    <w:rsid w:val="5F7C42B5"/>
    <w:rsid w:val="5F8A6636"/>
    <w:rsid w:val="5F8B27B2"/>
    <w:rsid w:val="5F90533C"/>
    <w:rsid w:val="5FC86518"/>
    <w:rsid w:val="5FCC6511"/>
    <w:rsid w:val="5FD0361E"/>
    <w:rsid w:val="5FE926EA"/>
    <w:rsid w:val="5FFA3263"/>
    <w:rsid w:val="6011625E"/>
    <w:rsid w:val="601A7636"/>
    <w:rsid w:val="60443CFE"/>
    <w:rsid w:val="6056529D"/>
    <w:rsid w:val="605C13A4"/>
    <w:rsid w:val="606467B1"/>
    <w:rsid w:val="60692C39"/>
    <w:rsid w:val="60705E47"/>
    <w:rsid w:val="60730FCA"/>
    <w:rsid w:val="60A24FBB"/>
    <w:rsid w:val="60B9557F"/>
    <w:rsid w:val="60CB745A"/>
    <w:rsid w:val="60FC34AC"/>
    <w:rsid w:val="6105633A"/>
    <w:rsid w:val="6106763F"/>
    <w:rsid w:val="611A414D"/>
    <w:rsid w:val="614E0843"/>
    <w:rsid w:val="61836C08"/>
    <w:rsid w:val="61972646"/>
    <w:rsid w:val="61AD1E69"/>
    <w:rsid w:val="61B009D1"/>
    <w:rsid w:val="61B13C78"/>
    <w:rsid w:val="61DB5099"/>
    <w:rsid w:val="61F870F3"/>
    <w:rsid w:val="61FB44C5"/>
    <w:rsid w:val="61FE4354"/>
    <w:rsid w:val="620718EE"/>
    <w:rsid w:val="62173BF9"/>
    <w:rsid w:val="623F0640"/>
    <w:rsid w:val="627E48A2"/>
    <w:rsid w:val="6287090C"/>
    <w:rsid w:val="628E1C9B"/>
    <w:rsid w:val="62B63B02"/>
    <w:rsid w:val="62C90F25"/>
    <w:rsid w:val="632223E3"/>
    <w:rsid w:val="633334FD"/>
    <w:rsid w:val="633A260F"/>
    <w:rsid w:val="634F67A3"/>
    <w:rsid w:val="635C633B"/>
    <w:rsid w:val="638860CF"/>
    <w:rsid w:val="639F1C85"/>
    <w:rsid w:val="63A34684"/>
    <w:rsid w:val="63C6393F"/>
    <w:rsid w:val="63D97015"/>
    <w:rsid w:val="63FF4D9E"/>
    <w:rsid w:val="640D40B4"/>
    <w:rsid w:val="64370594"/>
    <w:rsid w:val="646F78AA"/>
    <w:rsid w:val="649A719B"/>
    <w:rsid w:val="64A444C7"/>
    <w:rsid w:val="64B941CC"/>
    <w:rsid w:val="64D65F27"/>
    <w:rsid w:val="651248C9"/>
    <w:rsid w:val="65320613"/>
    <w:rsid w:val="65363F24"/>
    <w:rsid w:val="65366619"/>
    <w:rsid w:val="653A4504"/>
    <w:rsid w:val="655A3D56"/>
    <w:rsid w:val="655B2B9D"/>
    <w:rsid w:val="65B81B71"/>
    <w:rsid w:val="65C17413"/>
    <w:rsid w:val="65C9123C"/>
    <w:rsid w:val="65E9586C"/>
    <w:rsid w:val="66064C0D"/>
    <w:rsid w:val="660A33D5"/>
    <w:rsid w:val="661324B7"/>
    <w:rsid w:val="66212E26"/>
    <w:rsid w:val="6626043C"/>
    <w:rsid w:val="663911C6"/>
    <w:rsid w:val="663C4348"/>
    <w:rsid w:val="6647287F"/>
    <w:rsid w:val="664C2331"/>
    <w:rsid w:val="66660838"/>
    <w:rsid w:val="66AD5901"/>
    <w:rsid w:val="66AF4687"/>
    <w:rsid w:val="66B23A7E"/>
    <w:rsid w:val="66E520A5"/>
    <w:rsid w:val="66E747E1"/>
    <w:rsid w:val="672103D1"/>
    <w:rsid w:val="672D1356"/>
    <w:rsid w:val="675039C2"/>
    <w:rsid w:val="67550FD9"/>
    <w:rsid w:val="67796717"/>
    <w:rsid w:val="67851192"/>
    <w:rsid w:val="679226FC"/>
    <w:rsid w:val="67D840E8"/>
    <w:rsid w:val="67E3597E"/>
    <w:rsid w:val="67E66E7E"/>
    <w:rsid w:val="68002D30"/>
    <w:rsid w:val="68153BCE"/>
    <w:rsid w:val="681C640C"/>
    <w:rsid w:val="68257787"/>
    <w:rsid w:val="6828049B"/>
    <w:rsid w:val="684613CE"/>
    <w:rsid w:val="68752646"/>
    <w:rsid w:val="688431F8"/>
    <w:rsid w:val="689379BF"/>
    <w:rsid w:val="68DC4DE2"/>
    <w:rsid w:val="68E53982"/>
    <w:rsid w:val="694B0B8C"/>
    <w:rsid w:val="695452C0"/>
    <w:rsid w:val="696977F9"/>
    <w:rsid w:val="69785B74"/>
    <w:rsid w:val="69800D51"/>
    <w:rsid w:val="69AC2A06"/>
    <w:rsid w:val="69E36748"/>
    <w:rsid w:val="69E76134"/>
    <w:rsid w:val="69EE74C3"/>
    <w:rsid w:val="69F85C4B"/>
    <w:rsid w:val="69FA2AEA"/>
    <w:rsid w:val="6A2353BE"/>
    <w:rsid w:val="6A401478"/>
    <w:rsid w:val="6A53447E"/>
    <w:rsid w:val="6A667059"/>
    <w:rsid w:val="6A883CBC"/>
    <w:rsid w:val="6A905A64"/>
    <w:rsid w:val="6A9C6F1F"/>
    <w:rsid w:val="6AAB4860"/>
    <w:rsid w:val="6AC412B9"/>
    <w:rsid w:val="6AC82B88"/>
    <w:rsid w:val="6AD379C8"/>
    <w:rsid w:val="6B0542A1"/>
    <w:rsid w:val="6B090729"/>
    <w:rsid w:val="6B1C3BBC"/>
    <w:rsid w:val="6B271C2B"/>
    <w:rsid w:val="6B413622"/>
    <w:rsid w:val="6B4D3745"/>
    <w:rsid w:val="6B600921"/>
    <w:rsid w:val="6B696C8B"/>
    <w:rsid w:val="6B703951"/>
    <w:rsid w:val="6B7845E0"/>
    <w:rsid w:val="6B7F4ADF"/>
    <w:rsid w:val="6B850073"/>
    <w:rsid w:val="6BC04E8F"/>
    <w:rsid w:val="6BEE421F"/>
    <w:rsid w:val="6C065149"/>
    <w:rsid w:val="6C30418A"/>
    <w:rsid w:val="6C515AE7"/>
    <w:rsid w:val="6C5D26DE"/>
    <w:rsid w:val="6C7269F6"/>
    <w:rsid w:val="6CC42F7D"/>
    <w:rsid w:val="6CC560F4"/>
    <w:rsid w:val="6CEB66C0"/>
    <w:rsid w:val="6CFE7A1D"/>
    <w:rsid w:val="6D06056F"/>
    <w:rsid w:val="6D2D29AD"/>
    <w:rsid w:val="6D417909"/>
    <w:rsid w:val="6D8048D6"/>
    <w:rsid w:val="6D8D463F"/>
    <w:rsid w:val="6DA4006D"/>
    <w:rsid w:val="6DB8406F"/>
    <w:rsid w:val="6DD369BE"/>
    <w:rsid w:val="6DDF49CF"/>
    <w:rsid w:val="6DE36081"/>
    <w:rsid w:val="6DE568D8"/>
    <w:rsid w:val="6DEA7FA1"/>
    <w:rsid w:val="6DF1016C"/>
    <w:rsid w:val="6DF21471"/>
    <w:rsid w:val="6DF627CC"/>
    <w:rsid w:val="6E131BD6"/>
    <w:rsid w:val="6E1B45FE"/>
    <w:rsid w:val="6E1E1A3B"/>
    <w:rsid w:val="6E3F209B"/>
    <w:rsid w:val="6E61136B"/>
    <w:rsid w:val="6E6A21C3"/>
    <w:rsid w:val="6E9671E7"/>
    <w:rsid w:val="6E9D6087"/>
    <w:rsid w:val="6EAA12B2"/>
    <w:rsid w:val="6EAE7221"/>
    <w:rsid w:val="6EBA7973"/>
    <w:rsid w:val="6EBF142E"/>
    <w:rsid w:val="6ECB58D1"/>
    <w:rsid w:val="6EF54E4F"/>
    <w:rsid w:val="6F020418"/>
    <w:rsid w:val="6F02382D"/>
    <w:rsid w:val="6F080FB9"/>
    <w:rsid w:val="6F085736"/>
    <w:rsid w:val="6F134DCC"/>
    <w:rsid w:val="6F1E315D"/>
    <w:rsid w:val="6F1F3C7A"/>
    <w:rsid w:val="6F345300"/>
    <w:rsid w:val="6F604ED0"/>
    <w:rsid w:val="6F8A1A3C"/>
    <w:rsid w:val="6FAD1286"/>
    <w:rsid w:val="6FCD1928"/>
    <w:rsid w:val="6FDC530A"/>
    <w:rsid w:val="6FE70C3C"/>
    <w:rsid w:val="6FF07C32"/>
    <w:rsid w:val="700111D1"/>
    <w:rsid w:val="70221C74"/>
    <w:rsid w:val="702F0747"/>
    <w:rsid w:val="70460641"/>
    <w:rsid w:val="705C4CCE"/>
    <w:rsid w:val="70707286"/>
    <w:rsid w:val="708D5C8E"/>
    <w:rsid w:val="70901D61"/>
    <w:rsid w:val="70B30FF5"/>
    <w:rsid w:val="70BA00FF"/>
    <w:rsid w:val="70C14F41"/>
    <w:rsid w:val="70EB650A"/>
    <w:rsid w:val="70F8723C"/>
    <w:rsid w:val="70FD016F"/>
    <w:rsid w:val="712B2DAA"/>
    <w:rsid w:val="71397275"/>
    <w:rsid w:val="713C0B14"/>
    <w:rsid w:val="71437B7E"/>
    <w:rsid w:val="714D5970"/>
    <w:rsid w:val="716A6C31"/>
    <w:rsid w:val="71760D33"/>
    <w:rsid w:val="718F6E95"/>
    <w:rsid w:val="719515E7"/>
    <w:rsid w:val="71C74DEB"/>
    <w:rsid w:val="71CE2A46"/>
    <w:rsid w:val="71DB64D8"/>
    <w:rsid w:val="71DD072C"/>
    <w:rsid w:val="720117E9"/>
    <w:rsid w:val="72275320"/>
    <w:rsid w:val="722F17E6"/>
    <w:rsid w:val="72331F90"/>
    <w:rsid w:val="72403C7E"/>
    <w:rsid w:val="725C4157"/>
    <w:rsid w:val="72624021"/>
    <w:rsid w:val="72637D85"/>
    <w:rsid w:val="726A4AC3"/>
    <w:rsid w:val="726C18FB"/>
    <w:rsid w:val="727147ED"/>
    <w:rsid w:val="72952BD1"/>
    <w:rsid w:val="72AD4E99"/>
    <w:rsid w:val="72EC4670"/>
    <w:rsid w:val="72F102AF"/>
    <w:rsid w:val="72F8122F"/>
    <w:rsid w:val="7332519D"/>
    <w:rsid w:val="73345810"/>
    <w:rsid w:val="733B1918"/>
    <w:rsid w:val="736A2467"/>
    <w:rsid w:val="736D3AE7"/>
    <w:rsid w:val="739026A7"/>
    <w:rsid w:val="73942E89"/>
    <w:rsid w:val="73B2537D"/>
    <w:rsid w:val="73B40E35"/>
    <w:rsid w:val="73BB0416"/>
    <w:rsid w:val="73FC5259"/>
    <w:rsid w:val="74144E7E"/>
    <w:rsid w:val="741713C4"/>
    <w:rsid w:val="74257F85"/>
    <w:rsid w:val="742F4960"/>
    <w:rsid w:val="74406B6D"/>
    <w:rsid w:val="74481E55"/>
    <w:rsid w:val="745D6577"/>
    <w:rsid w:val="74634335"/>
    <w:rsid w:val="74920388"/>
    <w:rsid w:val="74A215D5"/>
    <w:rsid w:val="74A54C22"/>
    <w:rsid w:val="74C47221"/>
    <w:rsid w:val="74C90910"/>
    <w:rsid w:val="74E40417"/>
    <w:rsid w:val="74E41BEE"/>
    <w:rsid w:val="750D75E9"/>
    <w:rsid w:val="750F392B"/>
    <w:rsid w:val="75232ABD"/>
    <w:rsid w:val="7535244A"/>
    <w:rsid w:val="7541494A"/>
    <w:rsid w:val="75880263"/>
    <w:rsid w:val="759F6F29"/>
    <w:rsid w:val="75B6202C"/>
    <w:rsid w:val="75C27143"/>
    <w:rsid w:val="75C4714E"/>
    <w:rsid w:val="76340C9D"/>
    <w:rsid w:val="765B26FF"/>
    <w:rsid w:val="766E5C13"/>
    <w:rsid w:val="7686417E"/>
    <w:rsid w:val="76A07A2B"/>
    <w:rsid w:val="76B86E8E"/>
    <w:rsid w:val="76E2215D"/>
    <w:rsid w:val="76E23F0B"/>
    <w:rsid w:val="76E912C3"/>
    <w:rsid w:val="76F3430A"/>
    <w:rsid w:val="7709632C"/>
    <w:rsid w:val="770A2D91"/>
    <w:rsid w:val="771947C5"/>
    <w:rsid w:val="77401B33"/>
    <w:rsid w:val="777234E1"/>
    <w:rsid w:val="778813A6"/>
    <w:rsid w:val="77997914"/>
    <w:rsid w:val="77BB7AA5"/>
    <w:rsid w:val="77E86AC9"/>
    <w:rsid w:val="77F4039A"/>
    <w:rsid w:val="780F0D30"/>
    <w:rsid w:val="781C3334"/>
    <w:rsid w:val="78283651"/>
    <w:rsid w:val="783057DB"/>
    <w:rsid w:val="78305B8C"/>
    <w:rsid w:val="78615304"/>
    <w:rsid w:val="78A2146F"/>
    <w:rsid w:val="78A7237F"/>
    <w:rsid w:val="78C627EC"/>
    <w:rsid w:val="78D0162B"/>
    <w:rsid w:val="78DB550B"/>
    <w:rsid w:val="78F76C86"/>
    <w:rsid w:val="78F87A16"/>
    <w:rsid w:val="79004264"/>
    <w:rsid w:val="790C7B25"/>
    <w:rsid w:val="793D7B1F"/>
    <w:rsid w:val="79464C25"/>
    <w:rsid w:val="794A5427"/>
    <w:rsid w:val="79537342"/>
    <w:rsid w:val="79566C9F"/>
    <w:rsid w:val="797057FE"/>
    <w:rsid w:val="799E4E95"/>
    <w:rsid w:val="79B934C1"/>
    <w:rsid w:val="79C30024"/>
    <w:rsid w:val="79CE7BE3"/>
    <w:rsid w:val="79D7587D"/>
    <w:rsid w:val="79D917F7"/>
    <w:rsid w:val="79EB30D7"/>
    <w:rsid w:val="79F53325"/>
    <w:rsid w:val="7A091ABE"/>
    <w:rsid w:val="7A0B54C9"/>
    <w:rsid w:val="7A277378"/>
    <w:rsid w:val="7A311E86"/>
    <w:rsid w:val="7A356A48"/>
    <w:rsid w:val="7A56577A"/>
    <w:rsid w:val="7A65732D"/>
    <w:rsid w:val="7AA31C03"/>
    <w:rsid w:val="7AA97E33"/>
    <w:rsid w:val="7AAB1018"/>
    <w:rsid w:val="7ABF07F0"/>
    <w:rsid w:val="7ACC0DA5"/>
    <w:rsid w:val="7ACE7785"/>
    <w:rsid w:val="7B02692A"/>
    <w:rsid w:val="7B197943"/>
    <w:rsid w:val="7B2E60AC"/>
    <w:rsid w:val="7B312C81"/>
    <w:rsid w:val="7B697626"/>
    <w:rsid w:val="7BA72CEC"/>
    <w:rsid w:val="7BE56054"/>
    <w:rsid w:val="7BEB2759"/>
    <w:rsid w:val="7BEC1388"/>
    <w:rsid w:val="7C336265"/>
    <w:rsid w:val="7C370855"/>
    <w:rsid w:val="7C3E1F66"/>
    <w:rsid w:val="7C4902F7"/>
    <w:rsid w:val="7C5E1196"/>
    <w:rsid w:val="7C6D4277"/>
    <w:rsid w:val="7C753C06"/>
    <w:rsid w:val="7C913F6E"/>
    <w:rsid w:val="7CD136D3"/>
    <w:rsid w:val="7CF0197F"/>
    <w:rsid w:val="7CF44998"/>
    <w:rsid w:val="7D2A2168"/>
    <w:rsid w:val="7D755AD9"/>
    <w:rsid w:val="7D7635FF"/>
    <w:rsid w:val="7D782ED3"/>
    <w:rsid w:val="7D956C94"/>
    <w:rsid w:val="7D983576"/>
    <w:rsid w:val="7DC6729D"/>
    <w:rsid w:val="7DE7321B"/>
    <w:rsid w:val="7E160FF4"/>
    <w:rsid w:val="7E747B3F"/>
    <w:rsid w:val="7E9401E1"/>
    <w:rsid w:val="7E953F59"/>
    <w:rsid w:val="7E9C52E7"/>
    <w:rsid w:val="7EAD12A3"/>
    <w:rsid w:val="7EC81C39"/>
    <w:rsid w:val="7ECA3C03"/>
    <w:rsid w:val="7F1830AF"/>
    <w:rsid w:val="7F22771F"/>
    <w:rsid w:val="7F313C82"/>
    <w:rsid w:val="7F556C75"/>
    <w:rsid w:val="7F567F7A"/>
    <w:rsid w:val="7F5B1556"/>
    <w:rsid w:val="7F5B2AAD"/>
    <w:rsid w:val="7F5C1E83"/>
    <w:rsid w:val="7F7762D0"/>
    <w:rsid w:val="7F7D0C75"/>
    <w:rsid w:val="7F7D7E39"/>
    <w:rsid w:val="7F81683F"/>
    <w:rsid w:val="7F862CC7"/>
    <w:rsid w:val="7F975160"/>
    <w:rsid w:val="7FC5261C"/>
    <w:rsid w:val="7FD05249"/>
    <w:rsid w:val="7FF50D7D"/>
    <w:rsid w:val="7FFD4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Indent"/>
    <w:basedOn w:val="1"/>
    <w:qFormat/>
    <w:uiPriority w:val="0"/>
    <w:pPr>
      <w:ind w:firstLine="540"/>
    </w:pPr>
    <w:rPr>
      <w:rFonts w:ascii="Times New Roman" w:hAnsi="Times New Roman" w:eastAsia="宋体" w:cs="Times New Roman"/>
      <w:sz w:val="3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next w:val="9"/>
    <w:qFormat/>
    <w:uiPriority w:val="0"/>
    <w:pPr>
      <w:snapToGrid w:val="0"/>
      <w:jc w:val="left"/>
    </w:pPr>
    <w:rPr>
      <w:rFonts w:ascii="Times New Roman" w:hAnsi="Times New Roman" w:eastAsia="宋体" w:cs="Times New Roman"/>
      <w:sz w:val="18"/>
    </w:rPr>
  </w:style>
  <w:style w:type="paragraph" w:styleId="9">
    <w:name w:val="Body Text First Indent 2"/>
    <w:basedOn w:val="5"/>
    <w:qFormat/>
    <w:uiPriority w:val="0"/>
    <w:pPr>
      <w:ind w:firstLine="420" w:firstLineChars="200"/>
    </w:pPr>
    <w:rPr>
      <w:rFonts w:ascii="Times New Roman" w:hAnsi="Times New Roman" w:eastAsia="宋体" w:cs="Times New Roman"/>
    </w:rPr>
  </w:style>
  <w:style w:type="character" w:styleId="12">
    <w:name w:val="Strong"/>
    <w:basedOn w:val="11"/>
    <w:qFormat/>
    <w:uiPriority w:val="0"/>
    <w:rPr>
      <w:b/>
    </w:rPr>
  </w:style>
  <w:style w:type="character" w:styleId="13">
    <w:name w:val="footnote reference"/>
    <w:basedOn w:val="11"/>
    <w:qFormat/>
    <w:uiPriority w:val="0"/>
    <w:rPr>
      <w:rFonts w:ascii="Times New Roman" w:hAnsi="Times New Roman" w:eastAsia="宋体" w:cs="Times New Roman"/>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customXml" Target="ink/ink2.xml"/><Relationship Id="rId6" Type="http://schemas.openxmlformats.org/officeDocument/2006/relationships/image" Target="media/image1.png"/><Relationship Id="rId5" Type="http://schemas.openxmlformats.org/officeDocument/2006/relationships/customXml" Target="ink/ink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ink/ink1.xml><?xml version="1.0" encoding="utf-8"?>
<inkml:ink xmlns:inkml="http://www.w3.org/2003/InkML">
  <inkml:definitions>
    <inkml:context xml:id="ctx0">
      <inkml:inkSource xml:id="inkSrc0">
        <inkml:traceFormat>
          <inkml:channel name="X" type="integer" units="cm"/>
          <inkml:channel name="Y" type="integer" units="cm"/>
          <inkml:channel name="F" type="integer" max="1023" units="cm"/>
        </inkml:traceFormat>
        <inkml:channelProperties>
          <inkml:channelProperty channel="X" name="resolution" value="28.3464566929134" units="1/cm"/>
          <inkml:channelProperty channel="Y" name="resolution" value="28.3464566929134" units="1/cm"/>
          <inkml:channelProperty channel="F" name="resolution" value="2.84167" units="1/cm"/>
        </inkml:channelProperties>
      </inkml:inkSource>
      <inkml:timestamp xml:id="ts0" timeString="2025-09-20T10:57:56"/>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3212.000 253599.000 767,'6.000'0.000'0,"0.000"0.000"0,1.000 0.000-5,0.000 0.000 9,0.000 0.000-2,0.000 0.000-3,0.000 0.000 0,0.000 0.000 1,0.000 0.000 1,0.000 0.000-1,0.000 0.000 0,0.000 0.000 1,0.000 0.000-2,0.000 0.000 1,0.000 0.000 0,0.000 0.000 0,2.000 0.000 0,4.000 0.000-3,-2.000 0.000 4,2.000 0.000-2,9.000 0.000-1,5.000 0.000 0,5.000 0.000 3,17.000 0.000-5,10.000 0.000 0,-14.000 0.000 7,1.000 0.000-1,28.000 0.000-1,-2.000 0.000-6,-28.000 0.000 5,-3.000 0.000 3,9.000 0.000 10,-9.000 0.000-14,-8.000 0.000 3,-7.000 0.000-3,-6.000 0.000 30,-5.000 0.000-40,-4.000 0.000-5,-1.000 0.000 11,3.000 0.000 52,3.000 0.000-97,-2.000 0.000 50,8.000 0.000-2,4.000 0.000 1,-6.000 0.000 3,1.000 0.000-2,2.000 0.000 0,2.000 0.000 0,5.000 0.000-1,2.000 0.000 2,1.000 0.000 0,1.000 0.000-3,5.000 0.000 0,0.000 0.000 3,-5.000 0.000 2,-1.000 0.000-2,-1.000 0.000-1,-1.000 0.000 1,7.000 0.000 0,-4.000 0.000 5,-14.000 0.000-6,-2.000 0.000-3,0.000 0.000 4,-3.000 0.000 0,-2.000 0.000-2,-2.000 0.000 11,-1.000 0.000-11,1.000 0.000-10,-1.000 0.000 10,0.000 1.000 1,0.000 0.000-1,1.000 0.000 2,1.000 0.000-3,3.000 0.000 1,3.000 0.000 1,0.000 0.000 0,3.000 0.000-1,2.000 0.000-2,2.000 0.000 3,6.000 0.000-3,2.000 0.000 5,-3.000 0.000 0,0.000 0.000-2,14.000 0.000-2,-5.000 0.000 5,-6.000 0.000-2,-6.000 0.000-1,-6.000 0.000 8,-5.000 0.000-6,-4.000 0.000 3,-3.000 0.000 0,0.000 0.000-4,0.000 0.000-15,5.000 0.000 12,8.000 0.000 2,3.000 0.000-8,4.000 0.000 6,3.000 0.000 2,2.000 0.000-2,7.000 0.000 0,1.000 0.000 3,-10.000 0.000 4,0.000 0.000-4,15.000 1.000 0,-6.000 0.000 0,-35.000-2.000 2,26.000 2.000-4,-6.000 0.000 8,-6.000 0.000-6,-5.000 0.000 12,-4.000 0.000-14,-3.000 0.000-19,0.000 0.000 21,0.000-1.000 26,2.000 0.000-51,0.000 0.000 19,0.000 0.000 4,-1.000 0.000 3,1.000 0.000-1,-1.000 0.000 1,3.000 0.000-3,1.000 0.000-1,0.000 0.000 1,3.000 0.000 0,2.000 0.000 0,2.000 0.000 1,2.000 0.000-1,8.000 0.000 0,3.000 0.000 1,-18.000 0.000 3,12.000 0.000-5,2.000 0.000 1,19.000 0.000 2,0.000 0.000-1,-18.000 0.000 5,-2.000 0.000-5,9.000 0.000-8,-5.000 0.000 10,-6.000 0.000 7,-5.000 0.000-2,-4.000 0.000 3,-4.000 0.000-22,0.000 0.000 15,-1.000 2.000-9,2.000 1.000 3,0.000 0.000 3,2.000 0.000 1,-1.000 0.000-5,1.000 0.000 2,14.000 3.000-1,7.000 0.000 1,-9.000-2.000 6,2.000 0.000-4,7.000 1.000-4,3.000 0.000 3,-2.000 0.000 1,2.000 0.000 4,13.000 1.000-5,1.000 0.000 0,-11.000-2.000 2,0.000 0.000 0,19.000 1.000 0,-6.000 0.000 1,-22.000-2.000 0,-3.000 0.000-1,5.000 0.000 5,-6.000 0.000-5,-4.000 0.000 2,-6.000 0.000 47,-5.000 0.000-128,-4.000 0.000 93,-12.000-1.000-11,0.000 1.000 4,0.000 0.000-9,0.000-1.000-5,2.000-3.000 5,-1.000-1.000-2,-1.000 0.000 2,0.000 0.000 2,2.000 0.000 0,1.000 0.000-1</inkml:trace>
</inkml:ink>
</file>

<file path=word/ink/ink2.xml><?xml version="1.0" encoding="utf-8"?>
<inkml:ink xmlns:inkml="http://www.w3.org/2003/InkML">
  <inkml:definitions>
    <inkml:context xml:id="ctx0">
      <inkml:inkSource xml:id="inkSrc0">
        <inkml:traceFormat>
          <inkml:channel name="X" type="integer" units="cm"/>
          <inkml:channel name="Y" type="integer" units="cm"/>
          <inkml:channel name="F" type="integer" max="1023" units="cm"/>
        </inkml:traceFormat>
        <inkml:channelProperties>
          <inkml:channelProperty channel="X" name="resolution" value="28.3464566929134" units="1/cm"/>
          <inkml:channelProperty channel="Y" name="resolution" value="28.3464566929134" units="1/cm"/>
          <inkml:channelProperty channel="F" name="resolution" value="2.84167" units="1/cm"/>
        </inkml:channelProperties>
      </inkml:inkSource>
      <inkml:timestamp xml:id="ts0" timeString="2025-09-20T10:57:56"/>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10587.000 280593.000 767</inkml:trace>
</inkml:ink>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11002</Words>
  <Characters>11784</Characters>
  <Lines>0</Lines>
  <Paragraphs>0</Paragraphs>
  <TotalTime>81</TotalTime>
  <ScaleCrop>false</ScaleCrop>
  <LinksUpToDate>false</LinksUpToDate>
  <CharactersWithSpaces>11800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2025-09-02T01:03:00Z</dcterms:created>
  <dc:creator>雪花飘飘</dc:creator>
  <cp:lastModifiedBy>罗志雄</cp:lastModifiedBy>
  <cp:lastPrinted>2025-09-18T00:50:00Z</cp:lastPrinted>
  <dcterms:modified xsi:type="dcterms:W3CDTF">2025-09-22T09:26:44Z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8BF8660515C54DD893FF290C08C10E87_13</vt:lpwstr>
  </property>
  <property fmtid="{D5CDD505-2E9C-101B-9397-08002B2CF9AE}" pid="4" name="KSOTemplateDocerSaveRecord">
    <vt:lpwstr>eyJoZGlkIjoiNDFmMjQzY2RhNjFlNjJkMWEyNDgyZDQ3OWViZDA2OTciLCJ1c2VySWQiOiI0MTYyNDE5OTMifQ==</vt:lpwstr>
  </property>
</Properties>
</file>